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CB0E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福建师范大学11</w:t>
      </w:r>
      <w:r>
        <w:rPr>
          <w:rFonts w:hint="eastAsia" w:ascii="方正小标宋简体" w:hAnsi="方正小标宋简体" w:eastAsia="方正小标宋简体" w:cs="方正小标宋简体"/>
          <w:b w:val="0"/>
          <w:bCs w:val="0"/>
          <w:sz w:val="44"/>
          <w:szCs w:val="44"/>
          <w:lang w:val="en-US" w:eastAsia="zh-CN"/>
        </w:rPr>
        <w:t>8</w:t>
      </w:r>
      <w:r>
        <w:rPr>
          <w:rFonts w:hint="eastAsia" w:ascii="方正小标宋简体" w:hAnsi="方正小标宋简体" w:eastAsia="方正小标宋简体" w:cs="方正小标宋简体"/>
          <w:b w:val="0"/>
          <w:bCs w:val="0"/>
          <w:sz w:val="44"/>
          <w:szCs w:val="44"/>
        </w:rPr>
        <w:t>周年校庆“云返校”活动服务主要技术参数与服务要求</w:t>
      </w:r>
    </w:p>
    <w:p w14:paraId="3639A09D">
      <w:pPr>
        <w:pStyle w:val="2"/>
        <w:numPr>
          <w:ilvl w:val="0"/>
          <w:numId w:val="0"/>
        </w:numPr>
        <w:ind w:left="494" w:leftChars="206" w:firstLine="48" w:firstLineChars="17"/>
        <w:rPr>
          <w:rFonts w:hint="eastAsia" w:ascii="宋体" w:hAnsi="宋体" w:eastAsia="宋体" w:cs="宋体"/>
          <w:b/>
          <w:kern w:val="44"/>
          <w:sz w:val="28"/>
          <w:szCs w:val="24"/>
          <w:lang w:val="en-US" w:eastAsia="zh-CN" w:bidi="ar-SA"/>
        </w:rPr>
      </w:pPr>
    </w:p>
    <w:p w14:paraId="4F010970">
      <w:pPr>
        <w:pStyle w:val="2"/>
        <w:numPr>
          <w:ilvl w:val="0"/>
          <w:numId w:val="0"/>
        </w:numPr>
        <w:ind w:left="494" w:leftChars="206" w:firstLine="48" w:firstLineChars="17"/>
      </w:pPr>
      <w:r>
        <w:rPr>
          <w:rFonts w:hint="eastAsia" w:ascii="宋体" w:hAnsi="宋体" w:eastAsia="宋体" w:cs="宋体"/>
          <w:b/>
          <w:kern w:val="44"/>
          <w:sz w:val="28"/>
          <w:szCs w:val="24"/>
          <w:lang w:val="en-US" w:eastAsia="zh-CN" w:bidi="ar-SA"/>
        </w:rPr>
        <w:t>一、</w:t>
      </w:r>
      <w:r>
        <w:rPr>
          <w:rFonts w:hint="eastAsia"/>
        </w:rPr>
        <w:t>项目背景</w:t>
      </w:r>
    </w:p>
    <w:p w14:paraId="6092D654">
      <w:pPr>
        <w:spacing w:line="460" w:lineRule="exact"/>
        <w:ind w:firstLine="640"/>
        <w:rPr>
          <w:rFonts w:hint="eastAsia" w:ascii="宋体" w:hAnsi="宋体" w:cs="宋体"/>
          <w:highlight w:val="none"/>
        </w:rPr>
      </w:pPr>
      <w:r>
        <w:rPr>
          <w:rFonts w:hint="eastAsia" w:ascii="宋体" w:hAnsi="宋体" w:cs="宋体"/>
          <w:highlight w:val="none"/>
        </w:rPr>
        <w:t>2025年11月17日，福建师范大学将迎来建校118周年华诞。为跨越时空界限，联结</w:t>
      </w:r>
      <w:r>
        <w:rPr>
          <w:rFonts w:hint="eastAsia" w:ascii="宋体" w:hAnsi="宋体" w:cs="宋体"/>
          <w:highlight w:val="none"/>
          <w:lang w:val="en-US" w:eastAsia="zh-CN"/>
        </w:rPr>
        <w:t>海内外福建</w:t>
      </w:r>
      <w:r>
        <w:rPr>
          <w:rFonts w:hint="eastAsia" w:ascii="宋体" w:hAnsi="宋体" w:cs="宋体"/>
          <w:highlight w:val="none"/>
        </w:rPr>
        <w:t>师大人的心，营造热烈而温馨的庆祝氛围，特计划通过校友智慧信息服务平台，精心策划推出118周年校庆“云返校”活动。</w:t>
      </w:r>
    </w:p>
    <w:p w14:paraId="79A57613">
      <w:pPr>
        <w:pStyle w:val="2"/>
        <w:numPr>
          <w:ilvl w:val="0"/>
          <w:numId w:val="0"/>
        </w:numPr>
        <w:spacing w:line="460" w:lineRule="exact"/>
        <w:ind w:left="494" w:leftChars="206" w:firstLine="48" w:firstLineChars="17"/>
        <w:rPr>
          <w:highlight w:val="none"/>
        </w:rPr>
      </w:pPr>
      <w:r>
        <w:rPr>
          <w:rFonts w:hint="eastAsia" w:ascii="宋体" w:hAnsi="宋体" w:eastAsia="宋体" w:cs="宋体"/>
          <w:b/>
          <w:kern w:val="44"/>
          <w:sz w:val="28"/>
          <w:szCs w:val="24"/>
          <w:highlight w:val="none"/>
          <w:lang w:val="en-US" w:eastAsia="zh-CN" w:bidi="ar-SA"/>
        </w:rPr>
        <w:t>二、</w:t>
      </w:r>
      <w:r>
        <w:rPr>
          <w:rFonts w:hint="eastAsia"/>
          <w:highlight w:val="none"/>
        </w:rPr>
        <w:t>采购需求</w:t>
      </w:r>
    </w:p>
    <w:tbl>
      <w:tblPr>
        <w:tblStyle w:val="7"/>
        <w:tblW w:w="82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17"/>
        <w:gridCol w:w="6376"/>
      </w:tblGrid>
      <w:tr w14:paraId="2CA1A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917" w:type="dxa"/>
            <w:tcBorders>
              <w:top w:val="single" w:color="000000" w:sz="4" w:space="0"/>
              <w:left w:val="single" w:color="000000" w:sz="4" w:space="0"/>
              <w:bottom w:val="single" w:color="000000" w:sz="4" w:space="0"/>
              <w:right w:val="single" w:color="000000" w:sz="4" w:space="0"/>
            </w:tcBorders>
          </w:tcPr>
          <w:p w14:paraId="71D7CE80">
            <w:pPr>
              <w:widowControl/>
              <w:spacing w:line="460" w:lineRule="exact"/>
              <w:jc w:val="center"/>
              <w:rPr>
                <w:rFonts w:ascii="宋体" w:hAnsi="宋体" w:cs="宋体"/>
                <w:b/>
                <w:highlight w:val="none"/>
              </w:rPr>
            </w:pPr>
            <w:r>
              <w:rPr>
                <w:rFonts w:hint="eastAsia" w:ascii="宋体" w:hAnsi="宋体" w:cs="宋体"/>
                <w:b/>
                <w:highlight w:val="none"/>
                <w:lang w:bidi="ar"/>
              </w:rPr>
              <w:t>产品名称</w:t>
            </w:r>
          </w:p>
        </w:tc>
        <w:tc>
          <w:tcPr>
            <w:tcW w:w="6376" w:type="dxa"/>
            <w:tcBorders>
              <w:top w:val="single" w:color="000000" w:sz="4" w:space="0"/>
              <w:left w:val="single" w:color="000000" w:sz="4" w:space="0"/>
              <w:bottom w:val="single" w:color="000000" w:sz="4" w:space="0"/>
              <w:right w:val="single" w:color="000000" w:sz="4" w:space="0"/>
            </w:tcBorders>
          </w:tcPr>
          <w:p w14:paraId="6A119A1E">
            <w:pPr>
              <w:widowControl/>
              <w:spacing w:line="460" w:lineRule="exact"/>
              <w:jc w:val="center"/>
              <w:rPr>
                <w:rFonts w:ascii="宋体" w:hAnsi="宋体" w:cs="宋体"/>
                <w:b/>
                <w:highlight w:val="none"/>
              </w:rPr>
            </w:pPr>
            <w:r>
              <w:rPr>
                <w:rFonts w:hint="eastAsia" w:ascii="宋体" w:hAnsi="宋体" w:cs="宋体"/>
                <w:b/>
                <w:highlight w:val="none"/>
                <w:lang w:bidi="ar"/>
              </w:rPr>
              <w:t>详细要求与技术参数</w:t>
            </w:r>
          </w:p>
        </w:tc>
      </w:tr>
      <w:tr w14:paraId="68DF9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917" w:type="dxa"/>
            <w:tcBorders>
              <w:left w:val="single" w:color="000000" w:sz="4" w:space="0"/>
              <w:right w:val="single" w:color="000000" w:sz="4" w:space="0"/>
            </w:tcBorders>
            <w:vAlign w:val="center"/>
          </w:tcPr>
          <w:p w14:paraId="44493CA0">
            <w:pPr>
              <w:widowControl/>
              <w:spacing w:line="460" w:lineRule="exact"/>
              <w:jc w:val="center"/>
              <w:rPr>
                <w:rFonts w:ascii="宋体" w:hAnsi="宋体" w:cs="宋体"/>
                <w:b/>
                <w:bCs/>
                <w:highlight w:val="none"/>
              </w:rPr>
            </w:pPr>
            <w:r>
              <w:rPr>
                <w:rFonts w:hint="eastAsia" w:ascii="宋体" w:hAnsi="宋体" w:cs="宋体"/>
                <w:b/>
                <w:bCs/>
                <w:highlight w:val="none"/>
              </w:rPr>
              <w:t>福建师范大学11</w:t>
            </w:r>
            <w:r>
              <w:rPr>
                <w:rFonts w:hint="eastAsia" w:ascii="宋体" w:hAnsi="宋体" w:cs="宋体"/>
                <w:b/>
                <w:bCs/>
                <w:highlight w:val="none"/>
                <w:lang w:val="en-US" w:eastAsia="zh-CN"/>
              </w:rPr>
              <w:t>8</w:t>
            </w:r>
            <w:r>
              <w:rPr>
                <w:rFonts w:hint="eastAsia" w:ascii="宋体" w:hAnsi="宋体" w:cs="宋体"/>
                <w:b/>
                <w:bCs/>
                <w:highlight w:val="none"/>
              </w:rPr>
              <w:t>周年校庆“云返校”活动</w:t>
            </w:r>
          </w:p>
        </w:tc>
        <w:tc>
          <w:tcPr>
            <w:tcW w:w="6376" w:type="dxa"/>
            <w:tcBorders>
              <w:top w:val="single" w:color="000000" w:sz="4" w:space="0"/>
              <w:left w:val="single" w:color="000000" w:sz="4" w:space="0"/>
              <w:right w:val="single" w:color="000000" w:sz="4" w:space="0"/>
            </w:tcBorders>
          </w:tcPr>
          <w:p w14:paraId="5F0D2D4C">
            <w:pPr>
              <w:spacing w:line="460" w:lineRule="exact"/>
              <w:ind w:firstLine="480" w:firstLineChars="200"/>
              <w:rPr>
                <w:rFonts w:hint="eastAsia" w:ascii="宋体" w:hAnsi="宋体" w:eastAsia="宋体" w:cs="宋体"/>
                <w:highlight w:val="none"/>
                <w:lang w:val="en-US" w:eastAsia="zh-CN"/>
              </w:rPr>
            </w:pPr>
            <w:r>
              <w:rPr>
                <w:rFonts w:hint="eastAsia" w:ascii="宋体" w:hAnsi="宋体" w:cs="宋体"/>
                <w:highlight w:val="none"/>
                <w:lang w:val="en-US" w:eastAsia="zh-CN"/>
              </w:rPr>
              <w:t>请参与的供应商提交本次活动的设计方案，本次“云返校”活动主题为校旗“云”传递，</w:t>
            </w:r>
            <w:r>
              <w:rPr>
                <w:rFonts w:hint="eastAsia" w:ascii="宋体" w:hAnsi="宋体" w:cs="宋体"/>
                <w:highlight w:val="none"/>
                <w:u w:val="none"/>
              </w:rPr>
              <w:t>内容需</w:t>
            </w:r>
            <w:r>
              <w:rPr>
                <w:rFonts w:hint="eastAsia" w:ascii="宋体" w:hAnsi="宋体" w:cs="宋体"/>
                <w:highlight w:val="none"/>
                <w:u w:val="none"/>
                <w:lang w:val="en-US" w:eastAsia="zh-CN"/>
              </w:rPr>
              <w:t>至少</w:t>
            </w:r>
            <w:r>
              <w:rPr>
                <w:rFonts w:hint="eastAsia" w:ascii="宋体" w:hAnsi="宋体" w:cs="宋体"/>
                <w:highlight w:val="none"/>
                <w:u w:val="none"/>
              </w:rPr>
              <w:t>含主页、</w:t>
            </w:r>
            <w:r>
              <w:rPr>
                <w:rFonts w:hint="eastAsia" w:ascii="宋体" w:hAnsi="宋体" w:cs="宋体"/>
                <w:highlight w:val="none"/>
                <w:u w:val="none"/>
                <w:lang w:val="en-US" w:eastAsia="zh-CN"/>
              </w:rPr>
              <w:t>传旗报名</w:t>
            </w:r>
            <w:r>
              <w:rPr>
                <w:rFonts w:hint="eastAsia" w:ascii="宋体" w:hAnsi="宋体" w:cs="宋体"/>
                <w:highlight w:val="none"/>
                <w:u w:val="none"/>
              </w:rPr>
              <w:t>、</w:t>
            </w:r>
            <w:r>
              <w:rPr>
                <w:rFonts w:hint="eastAsia" w:ascii="宋体" w:hAnsi="宋体" w:cs="宋体"/>
                <w:highlight w:val="none"/>
                <w:u w:val="none"/>
                <w:lang w:val="en-US" w:eastAsia="zh-CN"/>
              </w:rPr>
              <w:t>传旗接力</w:t>
            </w:r>
            <w:r>
              <w:rPr>
                <w:rFonts w:hint="eastAsia" w:ascii="宋体" w:hAnsi="宋体" w:cs="宋体"/>
                <w:highlight w:val="none"/>
                <w:u w:val="none"/>
                <w:lang w:eastAsia="zh-CN"/>
              </w:rPr>
              <w:t>、</w:t>
            </w:r>
            <w:r>
              <w:rPr>
                <w:rFonts w:hint="eastAsia" w:ascii="宋体" w:hAnsi="宋体" w:cs="宋体"/>
                <w:highlight w:val="none"/>
                <w:u w:val="none"/>
                <w:lang w:val="en-US" w:eastAsia="zh-CN"/>
              </w:rPr>
              <w:t>云端祝福</w:t>
            </w:r>
            <w:r>
              <w:rPr>
                <w:rFonts w:hint="eastAsia" w:ascii="宋体" w:hAnsi="宋体" w:cs="宋体"/>
                <w:highlight w:val="none"/>
                <w:u w:val="none"/>
                <w:lang w:eastAsia="zh-CN"/>
              </w:rPr>
              <w:t>、</w:t>
            </w:r>
            <w:r>
              <w:rPr>
                <w:rFonts w:hint="eastAsia" w:ascii="宋体" w:hAnsi="宋体" w:cs="宋体"/>
                <w:highlight w:val="none"/>
                <w:u w:val="none"/>
                <w:lang w:val="en-US" w:eastAsia="zh-CN"/>
              </w:rPr>
              <w:t>爱心云捐</w:t>
            </w:r>
            <w:r>
              <w:rPr>
                <w:rFonts w:hint="eastAsia" w:ascii="宋体" w:hAnsi="宋体" w:cs="宋体"/>
                <w:highlight w:val="none"/>
                <w:u w:val="none"/>
              </w:rPr>
              <w:t>等子活动</w:t>
            </w:r>
            <w:r>
              <w:rPr>
                <w:rFonts w:hint="eastAsia" w:ascii="宋体" w:hAnsi="宋体" w:cs="宋体"/>
                <w:highlight w:val="none"/>
                <w:u w:val="none"/>
                <w:lang w:eastAsia="zh-CN"/>
              </w:rPr>
              <w:t>。</w:t>
            </w:r>
          </w:p>
          <w:p w14:paraId="6EF3D63B">
            <w:pPr>
              <w:widowControl/>
              <w:spacing w:line="460" w:lineRule="exact"/>
              <w:jc w:val="left"/>
              <w:outlineLvl w:val="1"/>
              <w:rPr>
                <w:rFonts w:ascii="宋体" w:hAnsi="宋体" w:cs="宋体"/>
                <w:b/>
                <w:highlight w:val="none"/>
              </w:rPr>
            </w:pPr>
            <w:r>
              <w:rPr>
                <w:rFonts w:hint="eastAsia" w:ascii="宋体" w:hAnsi="宋体" w:cs="宋体"/>
                <w:b/>
                <w:highlight w:val="none"/>
              </w:rPr>
              <w:t>整体要求：</w:t>
            </w:r>
          </w:p>
          <w:p w14:paraId="0F2C628F">
            <w:pPr>
              <w:widowControl/>
              <w:spacing w:line="460" w:lineRule="exact"/>
              <w:jc w:val="left"/>
              <w:outlineLvl w:val="1"/>
              <w:rPr>
                <w:rFonts w:ascii="宋体" w:hAnsi="宋体" w:cs="宋体"/>
                <w:highlight w:val="none"/>
              </w:rPr>
            </w:pPr>
            <w:r>
              <w:rPr>
                <w:rFonts w:hint="eastAsia" w:ascii="宋体" w:hAnsi="宋体" w:cs="宋体"/>
                <w:highlight w:val="none"/>
                <w:lang w:eastAsia="zh-CN"/>
              </w:rPr>
              <w:t>1.</w:t>
            </w:r>
            <w:r>
              <w:rPr>
                <w:rFonts w:hint="eastAsia" w:ascii="宋体" w:hAnsi="宋体" w:cs="宋体"/>
                <w:highlight w:val="none"/>
              </w:rPr>
              <w:t>必须符合我国相关部门制订的标准，安全策略、密码、网络互联、安全管理等；必须符合我国信息安全法律法规。</w:t>
            </w:r>
          </w:p>
          <w:p w14:paraId="75DE3A40">
            <w:pPr>
              <w:widowControl/>
              <w:spacing w:line="460" w:lineRule="exact"/>
              <w:jc w:val="left"/>
              <w:rPr>
                <w:rFonts w:ascii="宋体" w:hAnsi="宋体" w:cs="宋体"/>
                <w:highlight w:val="none"/>
              </w:rPr>
            </w:pPr>
            <w:r>
              <w:rPr>
                <w:rFonts w:hint="eastAsia" w:ascii="宋体" w:hAnsi="宋体" w:cs="宋体"/>
                <w:highlight w:val="none"/>
                <w:lang w:eastAsia="zh-CN"/>
              </w:rPr>
              <w:t>2.</w:t>
            </w:r>
            <w:r>
              <w:rPr>
                <w:rFonts w:hint="eastAsia" w:ascii="宋体" w:hAnsi="宋体" w:cs="宋体"/>
                <w:highlight w:val="none"/>
              </w:rPr>
              <w:t>平台的建设必须符合和遵守学校制定的信息化相关标准要求，以便规范地进行业务数据的采集、存储、传输、应用。软件平台投标人应熟悉学校数据标准规范和数据接口规范，在学校标准覆盖不全的情况下，根据国家相关部门制订的标准，与学校一起升级和完善学校自己的标准。</w:t>
            </w:r>
          </w:p>
          <w:p w14:paraId="40FC5316">
            <w:pPr>
              <w:widowControl/>
              <w:spacing w:line="460" w:lineRule="exact"/>
              <w:jc w:val="left"/>
              <w:rPr>
                <w:rFonts w:hint="eastAsia" w:ascii="宋体" w:hAnsi="宋体" w:cs="宋体"/>
                <w:highlight w:val="none"/>
              </w:rPr>
            </w:pPr>
            <w:r>
              <w:rPr>
                <w:rFonts w:hint="eastAsia" w:ascii="宋体" w:hAnsi="宋体" w:cs="宋体"/>
                <w:highlight w:val="none"/>
                <w:lang w:eastAsia="zh-CN"/>
              </w:rPr>
              <w:t>3.</w:t>
            </w:r>
            <w:r>
              <w:rPr>
                <w:rFonts w:hint="eastAsia" w:ascii="宋体" w:hAnsi="宋体" w:cs="宋体"/>
                <w:highlight w:val="none"/>
              </w:rPr>
              <w:t>平台要求部署在学校本地服务器。</w:t>
            </w:r>
          </w:p>
          <w:p w14:paraId="37D684AA">
            <w:pPr>
              <w:widowControl/>
              <w:spacing w:line="460" w:lineRule="exact"/>
              <w:jc w:val="left"/>
              <w:outlineLvl w:val="1"/>
              <w:rPr>
                <w:rFonts w:ascii="宋体" w:hAnsi="宋体" w:cs="宋体"/>
                <w:b/>
                <w:highlight w:val="none"/>
              </w:rPr>
            </w:pPr>
            <w:r>
              <w:rPr>
                <w:rFonts w:hint="eastAsia" w:ascii="宋体" w:hAnsi="宋体" w:cs="宋体"/>
                <w:b/>
                <w:highlight w:val="none"/>
              </w:rPr>
              <w:t>技术及对接要求：</w:t>
            </w:r>
          </w:p>
          <w:p w14:paraId="5168D29B">
            <w:pPr>
              <w:widowControl/>
              <w:numPr>
                <w:ilvl w:val="0"/>
                <w:numId w:val="4"/>
              </w:numPr>
              <w:spacing w:line="460" w:lineRule="exact"/>
              <w:jc w:val="left"/>
              <w:outlineLvl w:val="1"/>
              <w:rPr>
                <w:rFonts w:ascii="宋体" w:hAnsi="宋体" w:cs="宋体"/>
                <w:highlight w:val="none"/>
              </w:rPr>
            </w:pPr>
            <w:r>
              <w:rPr>
                <w:rFonts w:hint="eastAsia" w:ascii="宋体" w:hAnsi="宋体" w:cs="宋体"/>
                <w:highlight w:val="none"/>
                <w:lang w:eastAsia="zh-CN"/>
              </w:rPr>
              <w:t>“</w:t>
            </w:r>
            <w:r>
              <w:rPr>
                <w:rFonts w:hint="eastAsia" w:ascii="宋体" w:hAnsi="宋体" w:cs="宋体"/>
                <w:highlight w:val="none"/>
              </w:rPr>
              <w:t>云返校</w:t>
            </w:r>
            <w:r>
              <w:rPr>
                <w:rFonts w:hint="eastAsia" w:ascii="宋体" w:hAnsi="宋体" w:cs="宋体"/>
                <w:highlight w:val="none"/>
                <w:lang w:eastAsia="zh-CN"/>
              </w:rPr>
              <w:t>”</w:t>
            </w:r>
            <w:r>
              <w:rPr>
                <w:rFonts w:hint="eastAsia" w:ascii="宋体" w:hAnsi="宋体" w:cs="宋体"/>
                <w:highlight w:val="none"/>
                <w:lang w:val="en-US" w:eastAsia="zh-CN"/>
              </w:rPr>
              <w:t>活动</w:t>
            </w:r>
            <w:r>
              <w:rPr>
                <w:rFonts w:hint="eastAsia" w:ascii="宋体" w:hAnsi="宋体" w:cs="宋体"/>
                <w:highlight w:val="none"/>
              </w:rPr>
              <w:t>数据</w:t>
            </w:r>
            <w:r>
              <w:rPr>
                <w:rFonts w:hint="eastAsia" w:ascii="宋体" w:hAnsi="宋体" w:cs="宋体"/>
                <w:highlight w:val="none"/>
                <w:lang w:val="en-US" w:eastAsia="zh-CN"/>
              </w:rPr>
              <w:t>应当能够实现</w:t>
            </w:r>
            <w:r>
              <w:rPr>
                <w:rFonts w:hint="eastAsia" w:ascii="宋体" w:hAnsi="宋体" w:cs="宋体"/>
                <w:highlight w:val="none"/>
              </w:rPr>
              <w:t>与现有校友系统同步。</w:t>
            </w:r>
          </w:p>
          <w:p w14:paraId="30C971DB">
            <w:pPr>
              <w:widowControl/>
              <w:numPr>
                <w:ilvl w:val="0"/>
                <w:numId w:val="4"/>
              </w:numPr>
              <w:spacing w:line="460" w:lineRule="exact"/>
              <w:jc w:val="left"/>
              <w:outlineLvl w:val="1"/>
              <w:rPr>
                <w:rFonts w:ascii="宋体" w:hAnsi="宋体" w:cs="宋体"/>
                <w:highlight w:val="none"/>
              </w:rPr>
            </w:pPr>
            <w:r>
              <w:rPr>
                <w:rFonts w:hint="eastAsia" w:ascii="宋体" w:hAnsi="宋体" w:cs="宋体"/>
                <w:highlight w:val="none"/>
              </w:rPr>
              <w:t>系统支持不低于10万用户访问，支持10000并发使用。</w:t>
            </w:r>
          </w:p>
          <w:p w14:paraId="2F5ECAA5">
            <w:pPr>
              <w:widowControl/>
              <w:numPr>
                <w:ilvl w:val="0"/>
                <w:numId w:val="4"/>
              </w:numPr>
              <w:spacing w:line="460" w:lineRule="exact"/>
              <w:ind w:left="0" w:leftChars="0" w:firstLine="0" w:firstLineChars="0"/>
              <w:jc w:val="left"/>
              <w:outlineLvl w:val="1"/>
              <w:rPr>
                <w:rFonts w:hint="eastAsia" w:ascii="宋体" w:hAnsi="宋体" w:cs="宋体"/>
                <w:highlight w:val="none"/>
              </w:rPr>
            </w:pPr>
            <w:r>
              <w:rPr>
                <w:rFonts w:hint="eastAsia" w:ascii="宋体" w:hAnsi="宋体" w:cs="宋体"/>
                <w:highlight w:val="none"/>
              </w:rPr>
              <w:t>系统部署于虚拟机环境下的Windows Server2016（及以上）或</w:t>
            </w:r>
            <w:r>
              <w:rPr>
                <w:rFonts w:hint="eastAsia" w:ascii="宋体" w:hAnsi="宋体" w:cs="宋体"/>
                <w:highlight w:val="none"/>
                <w:lang w:val="en-US" w:eastAsia="zh-CN"/>
              </w:rPr>
              <w:t>Ubuntu20.04</w:t>
            </w:r>
            <w:r>
              <w:rPr>
                <w:rFonts w:hint="eastAsia" w:ascii="宋体" w:hAnsi="宋体" w:cs="宋体"/>
                <w:highlight w:val="none"/>
              </w:rPr>
              <w:t>及以上等主流的高安全性操作系统；采用Oracle 1</w:t>
            </w:r>
            <w:r>
              <w:rPr>
                <w:rFonts w:hint="eastAsia" w:ascii="宋体" w:hAnsi="宋体" w:cs="宋体"/>
                <w:highlight w:val="none"/>
                <w:lang w:val="en-US" w:eastAsia="zh-CN"/>
              </w:rPr>
              <w:t>9</w:t>
            </w:r>
            <w:r>
              <w:rPr>
                <w:rFonts w:hint="eastAsia" w:ascii="宋体" w:hAnsi="宋体" w:cs="宋体"/>
                <w:highlight w:val="none"/>
              </w:rPr>
              <w:t>c及以上</w:t>
            </w:r>
            <w:r>
              <w:rPr>
                <w:rFonts w:hint="eastAsia" w:ascii="宋体" w:hAnsi="宋体" w:cs="宋体"/>
                <w:highlight w:val="none"/>
                <w:lang w:val="en-US" w:eastAsia="zh-CN"/>
              </w:rPr>
              <w:t>等</w:t>
            </w:r>
            <w:r>
              <w:rPr>
                <w:rFonts w:hint="eastAsia" w:ascii="宋体" w:hAnsi="宋体" w:cs="宋体"/>
                <w:highlight w:val="none"/>
              </w:rPr>
              <w:t>主流数据库。</w:t>
            </w:r>
          </w:p>
          <w:p w14:paraId="7606308E">
            <w:pPr>
              <w:widowControl/>
              <w:spacing w:line="460" w:lineRule="exact"/>
              <w:jc w:val="left"/>
              <w:outlineLvl w:val="1"/>
              <w:rPr>
                <w:rFonts w:hint="eastAsia" w:ascii="宋体" w:hAnsi="宋体" w:cs="宋体"/>
                <w:b/>
                <w:highlight w:val="none"/>
                <w:lang w:val="en-US" w:eastAsia="zh-CN"/>
              </w:rPr>
            </w:pPr>
            <w:r>
              <w:rPr>
                <w:rFonts w:hint="eastAsia" w:ascii="宋体" w:hAnsi="宋体" w:cs="宋体"/>
                <w:b/>
                <w:highlight w:val="none"/>
                <w:lang w:val="en-US" w:eastAsia="zh-CN"/>
              </w:rPr>
              <w:t>总体要求：</w:t>
            </w:r>
          </w:p>
          <w:p w14:paraId="3FBDCFDA">
            <w:pPr>
              <w:widowControl/>
              <w:spacing w:line="460" w:lineRule="exact"/>
              <w:jc w:val="left"/>
              <w:outlineLvl w:val="1"/>
              <w:rPr>
                <w:rFonts w:hint="eastAsia" w:ascii="宋体" w:hAnsi="宋体" w:cs="宋体"/>
                <w:highlight w:val="none"/>
                <w:lang w:val="en-US" w:eastAsia="zh-CN"/>
              </w:rPr>
            </w:pPr>
            <w:r>
              <w:rPr>
                <w:rFonts w:hint="eastAsia" w:ascii="宋体" w:hAnsi="宋体" w:cs="宋体"/>
                <w:highlight w:val="none"/>
                <w:lang w:val="en-US" w:eastAsia="zh-CN"/>
              </w:rPr>
              <w:t>1.主题明确，情感共鸣：活动设计应紧密围绕“庆祝福建师范大学118周年校庆”的主题，激发校友对母校的归属感与自豪感。</w:t>
            </w:r>
          </w:p>
          <w:p w14:paraId="782E487B">
            <w:pPr>
              <w:widowControl/>
              <w:spacing w:line="460" w:lineRule="exact"/>
              <w:jc w:val="left"/>
              <w:outlineLvl w:val="1"/>
              <w:rPr>
                <w:rFonts w:hint="eastAsia" w:ascii="宋体" w:hAnsi="宋体" w:cs="宋体"/>
                <w:highlight w:val="none"/>
                <w:lang w:val="en-US" w:eastAsia="zh-CN"/>
              </w:rPr>
            </w:pPr>
            <w:r>
              <w:rPr>
                <w:rFonts w:hint="eastAsia" w:ascii="宋体" w:hAnsi="宋体" w:cs="宋体"/>
                <w:highlight w:val="none"/>
                <w:lang w:val="en-US" w:eastAsia="zh-CN"/>
              </w:rPr>
              <w:t>2.多元互动，增强参与感：设计方案内容需至少包含主页、传旗报名、传旗接力、云端祝福、爱心云捐等子活动，增强校友对活动的体验感和参与度。</w:t>
            </w:r>
          </w:p>
          <w:p w14:paraId="4D71DD33">
            <w:pPr>
              <w:widowControl/>
              <w:spacing w:line="460" w:lineRule="exact"/>
              <w:jc w:val="left"/>
              <w:outlineLvl w:val="1"/>
              <w:rPr>
                <w:rFonts w:hint="eastAsia" w:ascii="宋体" w:hAnsi="宋体" w:cs="宋体"/>
                <w:highlight w:val="none"/>
                <w:lang w:val="en-US" w:eastAsia="zh-CN"/>
              </w:rPr>
            </w:pPr>
            <w:r>
              <w:rPr>
                <w:rFonts w:hint="eastAsia" w:ascii="宋体" w:hAnsi="宋体" w:cs="宋体"/>
                <w:b/>
                <w:highlight w:val="none"/>
                <w:lang w:val="en-US" w:eastAsia="zh-CN"/>
              </w:rPr>
              <w:t>各主题内容要求</w:t>
            </w:r>
            <w:r>
              <w:rPr>
                <w:rFonts w:hint="eastAsia" w:ascii="宋体" w:hAnsi="宋体" w:cs="宋体"/>
                <w:highlight w:val="none"/>
                <w:lang w:val="en-US" w:eastAsia="zh-CN"/>
              </w:rPr>
              <w:t>：</w:t>
            </w:r>
          </w:p>
          <w:p w14:paraId="7DCFCB0E">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1.</w:t>
            </w:r>
            <w:r>
              <w:rPr>
                <w:rFonts w:hint="default" w:ascii="宋体" w:hAnsi="宋体" w:cs="宋体"/>
                <w:highlight w:val="none"/>
                <w:lang w:val="en-US" w:eastAsia="zh-CN"/>
              </w:rPr>
              <w:t>主页</w:t>
            </w:r>
            <w:r>
              <w:rPr>
                <w:rFonts w:hint="eastAsia" w:ascii="宋体" w:hAnsi="宋体" w:cs="宋体"/>
                <w:highlight w:val="none"/>
                <w:lang w:val="en-US" w:eastAsia="zh-CN"/>
              </w:rPr>
              <w:t>：作为系统首页，以长安山、星雨湖等标志性校园景观为背景，融合118周年数字艺术与动态光影效果，营造庄重而温馨的校庆氛围。</w:t>
            </w:r>
          </w:p>
          <w:p w14:paraId="1138C671">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2.</w:t>
            </w:r>
            <w:r>
              <w:rPr>
                <w:rFonts w:hint="default" w:ascii="宋体" w:hAnsi="宋体" w:cs="宋体"/>
                <w:highlight w:val="none"/>
                <w:lang w:val="en-US" w:eastAsia="zh-CN"/>
              </w:rPr>
              <w:t>传旗报名</w:t>
            </w:r>
            <w:r>
              <w:rPr>
                <w:rFonts w:hint="eastAsia" w:ascii="宋体" w:hAnsi="宋体" w:cs="宋体"/>
                <w:highlight w:val="none"/>
                <w:lang w:val="en-US" w:eastAsia="zh-CN"/>
              </w:rPr>
              <w:t>：通过报名收集参与校友信息，生成包含传旗手序号、报名时间、地理位置的专属电子档案。校友可以填写完善个人信息，收集的信息会和校友系统关联；如果用户以前通过微信注册过系统，则进入系统将会自动带出相关信息，无需再次登录。</w:t>
            </w:r>
          </w:p>
          <w:p w14:paraId="6FD22C61">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3.</w:t>
            </w:r>
            <w:r>
              <w:rPr>
                <w:rFonts w:hint="default" w:ascii="宋体" w:hAnsi="宋体" w:cs="宋体"/>
                <w:highlight w:val="none"/>
                <w:lang w:val="en-US" w:eastAsia="zh-CN"/>
              </w:rPr>
              <w:t>传旗接力</w:t>
            </w:r>
            <w:r>
              <w:rPr>
                <w:rFonts w:hint="eastAsia" w:ascii="宋体" w:hAnsi="宋体" w:cs="宋体"/>
                <w:highlight w:val="none"/>
                <w:lang w:val="en-US" w:eastAsia="zh-CN"/>
              </w:rPr>
              <w:t>：校友完成报名后，系统按参与顺序自动分配全球传旗手序号（如“第118001位传旗人”）。</w:t>
            </w:r>
          </w:p>
          <w:p w14:paraId="5570C823">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4.</w:t>
            </w:r>
            <w:r>
              <w:rPr>
                <w:rFonts w:hint="default" w:ascii="宋体" w:hAnsi="宋体" w:cs="宋体"/>
                <w:highlight w:val="none"/>
                <w:lang w:val="en-US" w:eastAsia="zh-CN"/>
              </w:rPr>
              <w:t>云</w:t>
            </w:r>
            <w:r>
              <w:rPr>
                <w:rFonts w:hint="eastAsia" w:ascii="宋体" w:hAnsi="宋体" w:cs="宋体"/>
                <w:highlight w:val="none"/>
                <w:lang w:val="en-US" w:eastAsia="zh-CN"/>
              </w:rPr>
              <w:t>端</w:t>
            </w:r>
            <w:r>
              <w:rPr>
                <w:rFonts w:hint="default" w:ascii="宋体" w:hAnsi="宋体" w:cs="宋体"/>
                <w:highlight w:val="none"/>
                <w:lang w:val="en-US" w:eastAsia="zh-CN"/>
              </w:rPr>
              <w:t>祝福</w:t>
            </w:r>
            <w:r>
              <w:rPr>
                <w:rFonts w:hint="eastAsia" w:ascii="宋体" w:hAnsi="宋体" w:cs="宋体"/>
                <w:highlight w:val="none"/>
                <w:lang w:val="en-US" w:eastAsia="zh-CN"/>
              </w:rPr>
              <w:t>：参与活动的校友可为母校118周年送出祝福（选择内置祝福语），相关祝福可在页面上展示，同时可通过祝福列表查看所有校友送出的祝福。</w:t>
            </w:r>
          </w:p>
          <w:p w14:paraId="26488532">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5.爱心</w:t>
            </w:r>
            <w:r>
              <w:rPr>
                <w:rFonts w:hint="default" w:ascii="宋体" w:hAnsi="宋体" w:cs="宋体"/>
                <w:highlight w:val="none"/>
                <w:lang w:val="en-US" w:eastAsia="zh-CN"/>
              </w:rPr>
              <w:t>云捐</w:t>
            </w:r>
            <w:r>
              <w:rPr>
                <w:rFonts w:hint="eastAsia" w:ascii="宋体" w:hAnsi="宋体" w:cs="宋体"/>
                <w:highlight w:val="none"/>
                <w:lang w:val="en-US" w:eastAsia="zh-CN"/>
              </w:rPr>
              <w:t>：增加捐赠入口，校友参与活动后可以点击捐赠入口进入校庆捐赠项目，结合118周年纪念，设置118周年校庆专项捐赠项目的浏览和捐赠，支持和捐赠平台数据关联打通，用户可以在线完成捐赠，并获得对应捐赠证书。</w:t>
            </w:r>
          </w:p>
          <w:p w14:paraId="18215818">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6.其他设计活动：其他可以融入本次活动、具有鲜明特色的子活动方案。</w:t>
            </w:r>
          </w:p>
          <w:p w14:paraId="5CDA896E">
            <w:pPr>
              <w:widowControl/>
              <w:spacing w:line="460" w:lineRule="exact"/>
              <w:jc w:val="left"/>
              <w:outlineLvl w:val="1"/>
              <w:rPr>
                <w:rFonts w:hint="default" w:ascii="宋体" w:hAnsi="宋体" w:cs="宋体"/>
                <w:b/>
                <w:highlight w:val="none"/>
                <w:lang w:val="en-US" w:eastAsia="zh-CN"/>
              </w:rPr>
            </w:pPr>
            <w:r>
              <w:rPr>
                <w:rFonts w:hint="eastAsia" w:ascii="宋体" w:hAnsi="宋体" w:cs="宋体"/>
                <w:b/>
                <w:highlight w:val="none"/>
                <w:lang w:val="en-US" w:eastAsia="zh-CN"/>
              </w:rPr>
              <w:t>设计要求：</w:t>
            </w:r>
          </w:p>
          <w:p w14:paraId="0D33AC79">
            <w:pPr>
              <w:pStyle w:val="5"/>
              <w:numPr>
                <w:ilvl w:val="0"/>
                <w:numId w:val="5"/>
              </w:numPr>
              <w:spacing w:line="460" w:lineRule="exact"/>
              <w:rPr>
                <w:rFonts w:hint="eastAsia" w:ascii="宋体" w:hAnsi="宋体" w:eastAsia="宋体" w:cs="宋体"/>
                <w:b w:val="0"/>
                <w:sz w:val="24"/>
                <w:highlight w:val="none"/>
                <w:lang w:val="en-US" w:eastAsia="zh-CN"/>
              </w:rPr>
            </w:pPr>
            <w:r>
              <w:rPr>
                <w:rFonts w:hint="eastAsia" w:ascii="宋体" w:hAnsi="宋体" w:eastAsia="宋体" w:cs="宋体"/>
                <w:b w:val="0"/>
                <w:sz w:val="24"/>
                <w:highlight w:val="none"/>
                <w:lang w:val="en-US" w:eastAsia="zh-CN"/>
              </w:rPr>
              <w:t>视觉统一，彰显特色：色彩搭配以福建师范大学校徽的主色调为基础，整体营造庄重而不失活力的视觉效果。活动页面及所有宣传材料需统一使用福建师范大学官方标识（校徽、校标等），并融入118周年的特别设计元素。</w:t>
            </w:r>
          </w:p>
          <w:p w14:paraId="653C2B69">
            <w:pPr>
              <w:numPr>
                <w:ilvl w:val="0"/>
                <w:numId w:val="5"/>
              </w:numPr>
              <w:rPr>
                <w:rFonts w:hint="default"/>
                <w:highlight w:val="none"/>
                <w:lang w:val="en-US" w:eastAsia="zh-CN"/>
              </w:rPr>
            </w:pPr>
            <w:r>
              <w:rPr>
                <w:rFonts w:hint="default"/>
                <w:highlight w:val="none"/>
                <w:lang w:val="en-US" w:eastAsia="zh-CN"/>
              </w:rPr>
              <w:t>界面友好，操作便捷：确保活动平台界面简洁明了，导航清晰，便于不同年龄层、技术水平的校友快速上手。优化移动端体验，确保在各种设备上都能流畅访问和参与。</w:t>
            </w:r>
          </w:p>
          <w:p w14:paraId="0DD28985">
            <w:pPr>
              <w:pStyle w:val="5"/>
              <w:spacing w:line="460" w:lineRule="exact"/>
              <w:rPr>
                <w:rFonts w:ascii="宋体" w:hAnsi="宋体" w:eastAsia="宋体" w:cs="宋体"/>
                <w:sz w:val="24"/>
                <w:highlight w:val="none"/>
              </w:rPr>
            </w:pPr>
          </w:p>
        </w:tc>
      </w:tr>
    </w:tbl>
    <w:p w14:paraId="6D0E3B5A">
      <w:pPr>
        <w:pStyle w:val="2"/>
        <w:numPr>
          <w:ilvl w:val="0"/>
          <w:numId w:val="0"/>
        </w:numPr>
        <w:spacing w:line="460" w:lineRule="exact"/>
        <w:ind w:firstLine="562" w:firstLineChars="200"/>
        <w:rPr>
          <w:rFonts w:hint="default"/>
          <w:highlight w:val="none"/>
          <w:lang w:val="en-US" w:eastAsia="zh-CN"/>
        </w:rPr>
      </w:pPr>
      <w:r>
        <w:rPr>
          <w:rFonts w:hint="eastAsia"/>
          <w:highlight w:val="none"/>
          <w:lang w:val="en-US" w:eastAsia="zh-CN"/>
        </w:rPr>
        <w:t>三、供应商资质要求</w:t>
      </w:r>
    </w:p>
    <w:p w14:paraId="2D8DCCDB">
      <w:pPr>
        <w:spacing w:line="460" w:lineRule="exact"/>
        <w:ind w:right="-130" w:rightChars="-54" w:firstLine="480" w:firstLineChars="200"/>
        <w:rPr>
          <w:rFonts w:hint="eastAsia" w:ascii="宋体" w:hAnsi="宋体" w:cs="宋体"/>
          <w:highlight w:val="none"/>
          <w:lang w:val="en-US" w:eastAsia="zh-CN"/>
        </w:rPr>
      </w:pPr>
      <w:r>
        <w:rPr>
          <w:rFonts w:hint="eastAsia" w:ascii="宋体" w:hAnsi="宋体" w:cs="宋体"/>
          <w:highlight w:val="none"/>
          <w:lang w:val="en-US" w:eastAsia="zh-CN"/>
        </w:rPr>
        <w:t>1.</w:t>
      </w:r>
      <w:r>
        <w:rPr>
          <w:rFonts w:hint="eastAsia" w:ascii="宋体" w:hAnsi="宋体" w:cs="宋体"/>
          <w:highlight w:val="none"/>
        </w:rPr>
        <w:t>应具备与互联网服务相关的有效资质证明文件至少一项（包含但不限于：ISO 20000、ISO 27001、“专精特新”资质证书等）。</w:t>
      </w:r>
    </w:p>
    <w:p w14:paraId="7C6053BD">
      <w:pPr>
        <w:spacing w:line="460" w:lineRule="exact"/>
        <w:ind w:right="-130" w:rightChars="-54" w:firstLine="480" w:firstLineChars="200"/>
        <w:rPr>
          <w:rFonts w:hint="eastAsia" w:ascii="宋体" w:hAnsi="宋体" w:cs="宋体"/>
          <w:highlight w:val="none"/>
          <w:lang w:val="en-US" w:eastAsia="zh-CN"/>
        </w:rPr>
      </w:pPr>
      <w:r>
        <w:rPr>
          <w:rFonts w:hint="eastAsia" w:ascii="宋体" w:hAnsi="宋体" w:cs="宋体"/>
          <w:highlight w:val="none"/>
          <w:lang w:val="en-US" w:eastAsia="zh-CN"/>
        </w:rPr>
        <w:t>2.</w:t>
      </w:r>
      <w:r>
        <w:rPr>
          <w:rFonts w:hint="eastAsia" w:ascii="宋体" w:hAnsi="宋体" w:cs="宋体"/>
          <w:highlight w:val="none"/>
        </w:rPr>
        <w:t>应具备高校校友信息化平台建设经验。须提供能体现其参与高校校友信息化平台或同类/相关项目建设的业绩证明材料（包含但不限于：项目合同关键页、项目启动文件或验收报告等）</w:t>
      </w:r>
      <w:r>
        <w:rPr>
          <w:rFonts w:hint="eastAsia" w:ascii="宋体" w:hAnsi="宋体" w:cs="宋体"/>
          <w:highlight w:val="none"/>
          <w:lang w:val="en-US" w:eastAsia="zh-CN"/>
        </w:rPr>
        <w:t>。</w:t>
      </w:r>
    </w:p>
    <w:p w14:paraId="557E0333">
      <w:pPr>
        <w:pStyle w:val="2"/>
        <w:numPr>
          <w:ilvl w:val="0"/>
          <w:numId w:val="0"/>
        </w:numPr>
        <w:spacing w:line="460" w:lineRule="exact"/>
        <w:ind w:firstLine="562" w:firstLineChars="200"/>
        <w:rPr>
          <w:highlight w:val="none"/>
        </w:rPr>
      </w:pPr>
      <w:r>
        <w:rPr>
          <w:rFonts w:hint="eastAsia"/>
          <w:highlight w:val="none"/>
          <w:lang w:val="en-US" w:eastAsia="zh-CN"/>
        </w:rPr>
        <w:t>四</w:t>
      </w:r>
      <w:r>
        <w:rPr>
          <w:rFonts w:hint="eastAsia"/>
          <w:highlight w:val="none"/>
        </w:rPr>
        <w:t>、系统交付及运营售后</w:t>
      </w:r>
    </w:p>
    <w:p w14:paraId="5FDC8FE7">
      <w:pPr>
        <w:spacing w:line="460" w:lineRule="exact"/>
        <w:ind w:right="-130" w:rightChars="-54" w:firstLine="480" w:firstLineChars="200"/>
        <w:rPr>
          <w:rFonts w:ascii="宋体" w:hAnsi="宋体" w:cs="宋体"/>
          <w:highlight w:val="none"/>
        </w:rPr>
      </w:pPr>
      <w:r>
        <w:rPr>
          <w:rFonts w:hint="eastAsia" w:ascii="宋体" w:hAnsi="宋体" w:cs="宋体"/>
          <w:highlight w:val="none"/>
        </w:rPr>
        <w:t>1.交付期</w:t>
      </w:r>
    </w:p>
    <w:p w14:paraId="627949D8">
      <w:pPr>
        <w:spacing w:line="460" w:lineRule="exact"/>
        <w:ind w:right="-130" w:rightChars="-54" w:firstLine="480" w:firstLineChars="200"/>
        <w:rPr>
          <w:rFonts w:ascii="宋体" w:hAnsi="宋体" w:cs="宋体"/>
          <w:highlight w:val="none"/>
        </w:rPr>
      </w:pPr>
      <w:r>
        <w:rPr>
          <w:rFonts w:hint="eastAsia" w:ascii="宋体" w:hAnsi="宋体" w:cs="宋体"/>
          <w:highlight w:val="none"/>
        </w:rPr>
        <w:t>合同签订生效后</w:t>
      </w:r>
      <w:r>
        <w:rPr>
          <w:rFonts w:hint="eastAsia" w:ascii="宋体" w:hAnsi="宋体" w:cs="宋体"/>
          <w:highlight w:val="none"/>
          <w:lang w:val="en-US" w:eastAsia="zh-CN"/>
        </w:rPr>
        <w:t>5</w:t>
      </w:r>
      <w:r>
        <w:rPr>
          <w:rFonts w:hint="eastAsia" w:ascii="宋体" w:hAnsi="宋体" w:cs="宋体"/>
          <w:highlight w:val="none"/>
        </w:rPr>
        <w:t>天（日历天）内完成所有开发和实施工作，上线运行一段时间，待具备验收条件后进行项目验收。</w:t>
      </w:r>
    </w:p>
    <w:p w14:paraId="3545EA3A">
      <w:pPr>
        <w:spacing w:line="460" w:lineRule="exact"/>
        <w:ind w:right="-130" w:rightChars="-54" w:firstLine="480" w:firstLineChars="200"/>
        <w:rPr>
          <w:rFonts w:ascii="宋体" w:hAnsi="宋体" w:cs="宋体"/>
          <w:highlight w:val="none"/>
        </w:rPr>
      </w:pPr>
      <w:r>
        <w:rPr>
          <w:rFonts w:hint="eastAsia" w:ascii="宋体" w:hAnsi="宋体" w:cs="宋体"/>
          <w:highlight w:val="none"/>
        </w:rPr>
        <w:t>2.用户培训</w:t>
      </w:r>
    </w:p>
    <w:p w14:paraId="3E0D697A">
      <w:pPr>
        <w:spacing w:line="460" w:lineRule="exact"/>
        <w:ind w:right="-130" w:rightChars="-54" w:firstLine="480" w:firstLineChars="200"/>
        <w:rPr>
          <w:rFonts w:ascii="宋体" w:hAnsi="宋体" w:cs="宋体"/>
          <w:highlight w:val="none"/>
        </w:rPr>
      </w:pPr>
      <w:r>
        <w:rPr>
          <w:rFonts w:hint="eastAsia" w:ascii="宋体" w:hAnsi="宋体" w:cs="宋体"/>
          <w:highlight w:val="none"/>
        </w:rPr>
        <w:t>为了使系统使用人员掌握系统的使用、维护和管理，达到能独立进行管理、故障处理、日常测试和维护等工作目的，应进行系统的技术培训，以保障系统能够正常、安全、平稳地运行，须提供以下服务：</w:t>
      </w:r>
    </w:p>
    <w:p w14:paraId="1D00DBE3">
      <w:pPr>
        <w:spacing w:line="460" w:lineRule="exact"/>
        <w:ind w:right="-130" w:rightChars="-54" w:firstLine="480" w:firstLineChars="200"/>
        <w:rPr>
          <w:rFonts w:ascii="宋体" w:hAnsi="宋体" w:cs="宋体"/>
          <w:highlight w:val="none"/>
        </w:rPr>
      </w:pPr>
      <w:r>
        <w:rPr>
          <w:rFonts w:hint="eastAsia" w:ascii="宋体" w:hAnsi="宋体" w:cs="宋体"/>
          <w:highlight w:val="none"/>
        </w:rPr>
        <w:t>培训方式：采用现场培训、网上培训等相结合的方式，针对不同层次的人员，确保每个角色用户对系统的顺利应用。</w:t>
      </w:r>
    </w:p>
    <w:p w14:paraId="402A8D3C">
      <w:pPr>
        <w:spacing w:line="460" w:lineRule="exact"/>
        <w:rPr>
          <w:highlight w:val="none"/>
        </w:rPr>
      </w:pPr>
      <w:r>
        <w:rPr>
          <w:rFonts w:hint="eastAsia" w:ascii="宋体" w:hAnsi="宋体" w:cs="宋体"/>
          <w:highlight w:val="none"/>
        </w:rPr>
        <w:t>培训对象：系统管理员、校友办管理员、学院管理员</w:t>
      </w:r>
      <w:bookmarkStart w:id="0" w:name="_GoBack"/>
      <w:bookmarkEnd w:id="0"/>
      <w:r>
        <w:rPr>
          <w:rFonts w:hint="eastAsia" w:ascii="宋体" w:hAnsi="宋体" w:cs="宋体"/>
          <w:highlight w:val="none"/>
        </w:rPr>
        <w:t>、分会管理员等用户。需要项目单位负责人提前组织发送培训通知，尽量让使用者都能</w:t>
      </w:r>
      <w:r>
        <w:rPr>
          <w:rFonts w:hint="eastAsia" w:ascii="宋体" w:hAnsi="宋体" w:cs="宋体"/>
          <w:highlight w:val="none"/>
          <w:lang w:eastAsia="zh-CN"/>
        </w:rPr>
        <w:t>全程</w:t>
      </w:r>
      <w:r>
        <w:rPr>
          <w:rFonts w:hint="eastAsia" w:ascii="宋体" w:hAnsi="宋体" w:cs="宋体"/>
          <w:highlight w:val="none"/>
        </w:rPr>
        <w:t>参加。</w:t>
      </w:r>
    </w:p>
    <w:p w14:paraId="0B17776B">
      <w:pPr>
        <w:pStyle w:val="11"/>
        <w:spacing w:line="460" w:lineRule="exact"/>
        <w:ind w:firstLine="480"/>
        <w:rPr>
          <w:rFonts w:ascii="宋体" w:hAnsi="宋体" w:cs="宋体"/>
          <w:highlight w:val="none"/>
        </w:rPr>
      </w:pPr>
      <w:r>
        <w:rPr>
          <w:rFonts w:hint="eastAsia" w:ascii="宋体" w:hAnsi="宋体" w:cs="宋体"/>
          <w:highlight w:val="none"/>
        </w:rPr>
        <w:t>3.运营维护</w:t>
      </w:r>
    </w:p>
    <w:p w14:paraId="1AD97D3A">
      <w:pPr>
        <w:pStyle w:val="11"/>
        <w:spacing w:line="460" w:lineRule="exact"/>
        <w:ind w:firstLine="480"/>
        <w:rPr>
          <w:highlight w:val="none"/>
        </w:rPr>
      </w:pPr>
      <w:r>
        <w:rPr>
          <w:rFonts w:hint="eastAsia" w:ascii="宋体" w:hAnsi="宋体" w:cs="宋体"/>
          <w:highlight w:val="none"/>
        </w:rPr>
        <w:t>提供7*24小时服务响应。对于系统在使用过程中出现的问题，在2小时内响应。如遇与所供系统有关的问题无法远程解决的，一般性故障解决问题时间不超过4小时，重大故障4小时内给出解决方案并提供临时应急处置措施，重大故障解决问题时间不超过72小时。</w:t>
      </w:r>
    </w:p>
    <w:p w14:paraId="4DE198D0">
      <w:pPr>
        <w:pStyle w:val="11"/>
        <w:autoSpaceDE w:val="0"/>
        <w:spacing w:line="460" w:lineRule="exact"/>
        <w:ind w:firstLine="480"/>
        <w:jc w:val="left"/>
        <w:rPr>
          <w:rFonts w:ascii="宋体" w:hAnsi="宋体" w:cs="宋体"/>
          <w:highlight w:val="none"/>
        </w:rPr>
      </w:pPr>
      <w:r>
        <w:rPr>
          <w:rFonts w:hint="eastAsia" w:ascii="宋体" w:hAnsi="宋体" w:cs="宋体"/>
          <w:highlight w:val="none"/>
        </w:rPr>
        <w:t>4.售后服务</w:t>
      </w:r>
    </w:p>
    <w:p w14:paraId="770E1569">
      <w:pPr>
        <w:pStyle w:val="11"/>
        <w:autoSpaceDE w:val="0"/>
        <w:spacing w:line="460" w:lineRule="exact"/>
        <w:ind w:firstLine="480"/>
        <w:jc w:val="left"/>
        <w:rPr>
          <w:rFonts w:ascii="宋体" w:hAnsi="宋体" w:cs="宋体"/>
          <w:highlight w:val="none"/>
        </w:rPr>
      </w:pPr>
      <w:r>
        <w:rPr>
          <w:rFonts w:hint="eastAsia" w:ascii="宋体" w:hAnsi="宋体" w:cs="宋体"/>
          <w:highlight w:val="none"/>
        </w:rPr>
        <w:t>质保期</w:t>
      </w:r>
      <w:r>
        <w:rPr>
          <w:rFonts w:ascii="宋体" w:hAnsi="宋体" w:cs="宋体"/>
          <w:highlight w:val="none"/>
        </w:rPr>
        <w:t>1</w:t>
      </w:r>
      <w:r>
        <w:rPr>
          <w:rFonts w:hint="eastAsia" w:ascii="宋体" w:hAnsi="宋体" w:cs="宋体"/>
          <w:highlight w:val="none"/>
        </w:rPr>
        <w:t>年；质保期内免费提供功能完善、性能提升和故障排除等售后服务。</w:t>
      </w:r>
    </w:p>
    <w:p w14:paraId="7857DF30">
      <w:pPr>
        <w:pStyle w:val="11"/>
        <w:numPr>
          <w:ilvl w:val="0"/>
          <w:numId w:val="0"/>
        </w:numPr>
        <w:autoSpaceDE w:val="0"/>
        <w:spacing w:line="460" w:lineRule="exact"/>
        <w:ind w:firstLine="562" w:firstLineChars="200"/>
        <w:jc w:val="left"/>
        <w:rPr>
          <w:rFonts w:ascii="宋体" w:hAnsi="宋体" w:cs="宋体"/>
          <w:b/>
          <w:kern w:val="44"/>
          <w:sz w:val="28"/>
          <w:highlight w:val="none"/>
        </w:rPr>
      </w:pPr>
      <w:r>
        <w:rPr>
          <w:rFonts w:hint="eastAsia" w:ascii="宋体" w:hAnsi="宋体" w:cs="宋体"/>
          <w:b/>
          <w:kern w:val="44"/>
          <w:sz w:val="28"/>
          <w:szCs w:val="24"/>
          <w:highlight w:val="none"/>
          <w:lang w:val="en-US" w:eastAsia="zh-CN" w:bidi="ar-SA"/>
        </w:rPr>
        <w:t>五</w:t>
      </w:r>
      <w:r>
        <w:rPr>
          <w:rFonts w:hint="eastAsia" w:ascii="宋体" w:hAnsi="宋体" w:eastAsia="宋体" w:cs="宋体"/>
          <w:b/>
          <w:kern w:val="44"/>
          <w:sz w:val="28"/>
          <w:szCs w:val="24"/>
          <w:highlight w:val="none"/>
          <w:lang w:val="en-US" w:eastAsia="zh-CN" w:bidi="ar-SA"/>
        </w:rPr>
        <w:t>、</w:t>
      </w:r>
      <w:r>
        <w:rPr>
          <w:rFonts w:hint="eastAsia" w:ascii="宋体" w:hAnsi="宋体" w:cs="宋体"/>
          <w:b/>
          <w:kern w:val="44"/>
          <w:sz w:val="28"/>
          <w:highlight w:val="none"/>
        </w:rPr>
        <w:t>评选办法</w:t>
      </w:r>
    </w:p>
    <w:p w14:paraId="17694772">
      <w:pPr>
        <w:spacing w:line="500" w:lineRule="exact"/>
        <w:ind w:firstLine="560" w:firstLineChars="200"/>
        <w:rPr>
          <w:sz w:val="28"/>
          <w:szCs w:val="28"/>
          <w:highlight w:val="none"/>
        </w:rPr>
      </w:pPr>
      <w:r>
        <w:rPr>
          <w:rFonts w:hint="eastAsia"/>
          <w:sz w:val="28"/>
          <w:szCs w:val="28"/>
          <w:highlight w:val="none"/>
        </w:rPr>
        <w:t>本项目选用综合评议法评定供应商（总分值为100分，得分最高的</w:t>
      </w:r>
      <w:r>
        <w:rPr>
          <w:rFonts w:hint="eastAsia"/>
          <w:sz w:val="28"/>
          <w:szCs w:val="28"/>
          <w:highlight w:val="none"/>
          <w:lang w:val="en-US" w:eastAsia="zh-CN"/>
        </w:rPr>
        <w:t>供应商</w:t>
      </w:r>
      <w:r>
        <w:rPr>
          <w:rFonts w:hint="eastAsia"/>
          <w:sz w:val="28"/>
          <w:szCs w:val="28"/>
          <w:highlight w:val="none"/>
        </w:rPr>
        <w:t>确定为中标成交人），评定标准如下：</w:t>
      </w:r>
    </w:p>
    <w:p w14:paraId="727AD3E5">
      <w:pPr>
        <w:spacing w:line="500" w:lineRule="exact"/>
        <w:rPr>
          <w:sz w:val="28"/>
          <w:szCs w:val="28"/>
          <w:highlight w:val="none"/>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4016"/>
        <w:gridCol w:w="1664"/>
      </w:tblGrid>
      <w:tr w14:paraId="35BC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AB38464">
            <w:pPr>
              <w:spacing w:line="500" w:lineRule="exact"/>
              <w:jc w:val="center"/>
              <w:rPr>
                <w:sz w:val="28"/>
                <w:szCs w:val="28"/>
                <w:highlight w:val="none"/>
              </w:rPr>
            </w:pPr>
            <w:r>
              <w:rPr>
                <w:rFonts w:hint="eastAsia"/>
                <w:sz w:val="28"/>
                <w:szCs w:val="28"/>
                <w:highlight w:val="none"/>
              </w:rPr>
              <w:t>评分项目</w:t>
            </w:r>
          </w:p>
        </w:tc>
        <w:tc>
          <w:tcPr>
            <w:tcW w:w="4016" w:type="dxa"/>
          </w:tcPr>
          <w:p w14:paraId="01DF5D3A">
            <w:pPr>
              <w:spacing w:line="500" w:lineRule="exact"/>
              <w:jc w:val="center"/>
              <w:rPr>
                <w:sz w:val="28"/>
                <w:szCs w:val="28"/>
                <w:highlight w:val="none"/>
              </w:rPr>
            </w:pPr>
            <w:r>
              <w:rPr>
                <w:rFonts w:hint="eastAsia"/>
                <w:sz w:val="28"/>
                <w:szCs w:val="28"/>
                <w:highlight w:val="none"/>
              </w:rPr>
              <w:t>评分标准</w:t>
            </w:r>
          </w:p>
        </w:tc>
        <w:tc>
          <w:tcPr>
            <w:tcW w:w="1664" w:type="dxa"/>
          </w:tcPr>
          <w:p w14:paraId="615AF5E5">
            <w:pPr>
              <w:spacing w:line="500" w:lineRule="exact"/>
              <w:jc w:val="center"/>
              <w:rPr>
                <w:sz w:val="28"/>
                <w:szCs w:val="28"/>
                <w:highlight w:val="none"/>
              </w:rPr>
            </w:pPr>
            <w:r>
              <w:rPr>
                <w:rFonts w:hint="eastAsia"/>
                <w:sz w:val="28"/>
                <w:szCs w:val="28"/>
                <w:highlight w:val="none"/>
              </w:rPr>
              <w:t>评分分值</w:t>
            </w:r>
          </w:p>
        </w:tc>
      </w:tr>
      <w:tr w14:paraId="7C9F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A163526">
            <w:pPr>
              <w:rPr>
                <w:rFonts w:ascii="宋体" w:hAnsi="宋体" w:cs="宋体"/>
                <w:highlight w:val="none"/>
              </w:rPr>
            </w:pPr>
            <w:r>
              <w:rPr>
                <w:rFonts w:hint="eastAsia" w:ascii="宋体" w:hAnsi="宋体" w:cs="宋体"/>
                <w:highlight w:val="none"/>
              </w:rPr>
              <w:t>报价部分</w:t>
            </w:r>
          </w:p>
          <w:p w14:paraId="4CB8E408">
            <w:pPr>
              <w:rPr>
                <w:rFonts w:ascii="宋体" w:hAnsi="宋体" w:cs="宋体"/>
                <w:highlight w:val="none"/>
              </w:rPr>
            </w:pPr>
            <w:r>
              <w:rPr>
                <w:rFonts w:hint="eastAsia" w:ascii="宋体" w:hAnsi="宋体" w:cs="宋体"/>
                <w:highlight w:val="none"/>
              </w:rPr>
              <w:t>（满分</w:t>
            </w:r>
            <w:r>
              <w:rPr>
                <w:rFonts w:hint="eastAsia" w:ascii="宋体" w:hAnsi="宋体" w:cs="宋体"/>
                <w:highlight w:val="none"/>
                <w:lang w:val="en-US" w:eastAsia="zh-CN"/>
              </w:rPr>
              <w:t>10</w:t>
            </w:r>
            <w:r>
              <w:rPr>
                <w:rFonts w:hint="eastAsia" w:ascii="宋体" w:hAnsi="宋体" w:cs="宋体"/>
                <w:highlight w:val="none"/>
              </w:rPr>
              <w:t>分）</w:t>
            </w:r>
          </w:p>
        </w:tc>
        <w:tc>
          <w:tcPr>
            <w:tcW w:w="4016" w:type="dxa"/>
          </w:tcPr>
          <w:p w14:paraId="465E4B0A">
            <w:pPr>
              <w:rPr>
                <w:rFonts w:ascii="宋体" w:hAnsi="宋体" w:cs="宋体"/>
                <w:highlight w:val="none"/>
              </w:rPr>
            </w:pPr>
            <w:r>
              <w:rPr>
                <w:rFonts w:hint="eastAsia" w:ascii="宋体" w:hAnsi="宋体" w:cs="宋体"/>
                <w:highlight w:val="none"/>
              </w:rPr>
              <w:t>评标基准价：满足招标文件要求且价格最低的有效报价为评标基准价，其价格分为满分（10分）。其他</w:t>
            </w:r>
            <w:r>
              <w:rPr>
                <w:rFonts w:hint="eastAsia" w:ascii="宋体" w:hAnsi="宋体" w:cs="宋体"/>
                <w:highlight w:val="none"/>
                <w:lang w:val="en-US" w:eastAsia="zh-CN"/>
              </w:rPr>
              <w:t>供应商</w:t>
            </w:r>
            <w:r>
              <w:rPr>
                <w:rFonts w:hint="eastAsia" w:ascii="宋体" w:hAnsi="宋体" w:cs="宋体"/>
                <w:highlight w:val="none"/>
              </w:rPr>
              <w:t>报价得分：报价得分=(评标基准价／投标报价)×10（四舍五入后保留小数点后两位）</w:t>
            </w:r>
          </w:p>
        </w:tc>
        <w:tc>
          <w:tcPr>
            <w:tcW w:w="1664" w:type="dxa"/>
          </w:tcPr>
          <w:p w14:paraId="2A181821">
            <w:pPr>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分</w:t>
            </w:r>
          </w:p>
        </w:tc>
      </w:tr>
      <w:tr w14:paraId="2A16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tcPr>
          <w:p w14:paraId="206BD7A3">
            <w:pPr>
              <w:rPr>
                <w:rFonts w:ascii="宋体" w:hAnsi="宋体" w:cs="宋体"/>
                <w:highlight w:val="none"/>
              </w:rPr>
            </w:pPr>
            <w:r>
              <w:rPr>
                <w:rFonts w:hint="eastAsia" w:ascii="宋体" w:hAnsi="宋体" w:cs="宋体"/>
                <w:highlight w:val="none"/>
                <w:lang w:val="en-US" w:eastAsia="zh-CN"/>
              </w:rPr>
              <w:t>技术支持</w:t>
            </w:r>
            <w:r>
              <w:rPr>
                <w:rFonts w:hint="eastAsia" w:ascii="宋体" w:hAnsi="宋体" w:cs="宋体"/>
                <w:highlight w:val="none"/>
              </w:rPr>
              <w:t>（满分</w:t>
            </w:r>
            <w:r>
              <w:rPr>
                <w:rFonts w:hint="eastAsia" w:ascii="宋体" w:hAnsi="宋体" w:cs="宋体"/>
                <w:highlight w:val="none"/>
                <w:lang w:val="en-US" w:eastAsia="zh-CN"/>
              </w:rPr>
              <w:t>40</w:t>
            </w:r>
            <w:r>
              <w:rPr>
                <w:rFonts w:hint="eastAsia" w:ascii="宋体" w:hAnsi="宋体" w:cs="宋体"/>
                <w:highlight w:val="none"/>
              </w:rPr>
              <w:t>分）</w:t>
            </w:r>
          </w:p>
        </w:tc>
        <w:tc>
          <w:tcPr>
            <w:tcW w:w="4016" w:type="dxa"/>
            <w:shd w:val="clear" w:color="auto" w:fill="auto"/>
            <w:vAlign w:val="top"/>
          </w:tcPr>
          <w:p w14:paraId="028BF950">
            <w:pPr>
              <w:jc w:val="left"/>
              <w:rPr>
                <w:rFonts w:ascii="宋体" w:hAnsi="宋体" w:eastAsia="宋体" w:cs="宋体"/>
                <w:kern w:val="2"/>
                <w:sz w:val="24"/>
                <w:szCs w:val="24"/>
                <w:highlight w:val="none"/>
                <w:lang w:val="en-US" w:eastAsia="zh-CN" w:bidi="ar-SA"/>
              </w:rPr>
            </w:pPr>
            <w:r>
              <w:rPr>
                <w:rFonts w:hint="eastAsia" w:ascii="宋体" w:hAnsi="宋体" w:cs="宋体"/>
                <w:bCs/>
                <w:color w:val="000000"/>
                <w:highlight w:val="none"/>
                <w:lang w:val="en-US" w:eastAsia="zh-CN"/>
              </w:rPr>
              <w:t>具有完成高校</w:t>
            </w:r>
            <w:r>
              <w:rPr>
                <w:rFonts w:hint="eastAsia" w:ascii="宋体" w:hAnsi="宋体" w:cs="宋体"/>
                <w:bCs/>
                <w:color w:val="000000"/>
                <w:highlight w:val="none"/>
              </w:rPr>
              <w:t>云返校项目</w:t>
            </w:r>
            <w:r>
              <w:rPr>
                <w:rFonts w:hint="eastAsia" w:ascii="宋体" w:hAnsi="宋体" w:cs="宋体"/>
                <w:bCs/>
                <w:color w:val="000000"/>
                <w:highlight w:val="none"/>
                <w:lang w:val="en-US" w:eastAsia="zh-CN"/>
              </w:rPr>
              <w:t>或同类/相关项目建设经验</w:t>
            </w:r>
            <w:r>
              <w:rPr>
                <w:rFonts w:hint="eastAsia" w:ascii="宋体" w:hAnsi="宋体" w:cs="宋体"/>
                <w:bCs/>
                <w:color w:val="000000"/>
                <w:highlight w:val="none"/>
              </w:rPr>
              <w:t>。须提供能体现其参与高校云返校或同类/相关项目建设的业绩证明材料（包含但不限于：项目合同关键页、项目启动文件或验收报告等）</w:t>
            </w:r>
            <w:r>
              <w:rPr>
                <w:rFonts w:hint="eastAsia" w:ascii="宋体" w:hAnsi="宋体" w:cs="宋体"/>
                <w:bCs/>
                <w:color w:val="000000"/>
                <w:highlight w:val="none"/>
                <w:lang w:val="en-US" w:eastAsia="zh-CN"/>
              </w:rPr>
              <w:t>并加盖公章</w:t>
            </w:r>
            <w:r>
              <w:rPr>
                <w:rFonts w:hint="eastAsia" w:ascii="宋体" w:hAnsi="宋体" w:cs="宋体"/>
                <w:bCs/>
                <w:color w:val="000000"/>
                <w:highlight w:val="none"/>
                <w:lang w:eastAsia="zh-CN"/>
              </w:rPr>
              <w:t>。每提供一个用户单位的业绩证明材料得</w:t>
            </w:r>
            <w:r>
              <w:rPr>
                <w:rFonts w:hint="eastAsia" w:ascii="宋体" w:hAnsi="宋体" w:cs="宋体"/>
                <w:bCs/>
                <w:color w:val="000000"/>
                <w:highlight w:val="none"/>
                <w:lang w:val="en-US" w:eastAsia="zh-CN"/>
              </w:rPr>
              <w:t>10</w:t>
            </w:r>
            <w:r>
              <w:rPr>
                <w:rFonts w:hint="eastAsia" w:ascii="宋体" w:hAnsi="宋体" w:cs="宋体"/>
                <w:bCs/>
                <w:color w:val="000000"/>
                <w:highlight w:val="none"/>
                <w:lang w:eastAsia="zh-CN"/>
              </w:rPr>
              <w:t>分，最多得</w:t>
            </w:r>
            <w:r>
              <w:rPr>
                <w:rFonts w:hint="eastAsia" w:ascii="宋体" w:hAnsi="宋体" w:cs="宋体"/>
                <w:bCs/>
                <w:color w:val="000000"/>
                <w:highlight w:val="none"/>
                <w:lang w:val="en-US" w:eastAsia="zh-CN"/>
              </w:rPr>
              <w:t>20</w:t>
            </w:r>
            <w:r>
              <w:rPr>
                <w:rFonts w:hint="eastAsia" w:ascii="宋体" w:hAnsi="宋体" w:cs="宋体"/>
                <w:bCs/>
                <w:color w:val="000000"/>
                <w:highlight w:val="none"/>
                <w:lang w:eastAsia="zh-CN"/>
              </w:rPr>
              <w:t>分。</w:t>
            </w:r>
          </w:p>
        </w:tc>
        <w:tc>
          <w:tcPr>
            <w:tcW w:w="1664" w:type="dxa"/>
            <w:shd w:val="clear" w:color="auto" w:fill="auto"/>
            <w:vAlign w:val="top"/>
          </w:tcPr>
          <w:p w14:paraId="3E8D8D17">
            <w:pPr>
              <w:rPr>
                <w:rFonts w:ascii="宋体" w:hAnsi="宋体" w:eastAsia="宋体" w:cs="宋体"/>
                <w:kern w:val="2"/>
                <w:sz w:val="24"/>
                <w:szCs w:val="24"/>
                <w:highlight w:val="none"/>
                <w:lang w:val="en-US" w:eastAsia="zh-CN" w:bidi="ar-SA"/>
              </w:rPr>
            </w:pPr>
            <w:r>
              <w:rPr>
                <w:rFonts w:hint="eastAsia" w:ascii="宋体" w:hAnsi="宋体" w:cs="宋体"/>
                <w:highlight w:val="none"/>
                <w:lang w:val="en-US" w:eastAsia="zh-CN"/>
              </w:rPr>
              <w:t>20</w:t>
            </w:r>
            <w:r>
              <w:rPr>
                <w:rFonts w:hint="eastAsia" w:ascii="宋体" w:hAnsi="宋体" w:cs="宋体"/>
                <w:highlight w:val="none"/>
              </w:rPr>
              <w:t>分</w:t>
            </w:r>
          </w:p>
        </w:tc>
      </w:tr>
      <w:tr w14:paraId="0C90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14:paraId="1D72E18B">
            <w:pPr>
              <w:rPr>
                <w:rFonts w:hint="eastAsia" w:ascii="宋体" w:hAnsi="宋体" w:cs="宋体"/>
                <w:highlight w:val="none"/>
                <w:lang w:val="en-US" w:eastAsia="zh-CN"/>
              </w:rPr>
            </w:pPr>
          </w:p>
        </w:tc>
        <w:tc>
          <w:tcPr>
            <w:tcW w:w="4016" w:type="dxa"/>
            <w:shd w:val="clear" w:color="auto" w:fill="auto"/>
            <w:vAlign w:val="top"/>
          </w:tcPr>
          <w:p w14:paraId="4A76EFBE">
            <w:pPr>
              <w:kinsoku/>
              <w:autoSpaceDE/>
              <w:autoSpaceDN/>
              <w:adjustRightInd/>
              <w:snapToGrid/>
              <w:spacing w:line="360" w:lineRule="auto"/>
              <w:ind w:right="67" w:rightChars="28"/>
              <w:jc w:val="left"/>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项目团队参与高校云返校或同类/相关项目建设至少1次，能够提供足够技术支持与售后响应。</w:t>
            </w:r>
          </w:p>
          <w:p w14:paraId="6C36A199">
            <w:pPr>
              <w:kinsoku/>
              <w:autoSpaceDE/>
              <w:autoSpaceDN/>
              <w:adjustRightInd/>
              <w:snapToGrid/>
              <w:spacing w:line="360" w:lineRule="auto"/>
              <w:ind w:right="67" w:rightChars="28"/>
              <w:jc w:val="left"/>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项目经理具有自2022年1月1日至招标公告发布之日（含）（以合同签订时间为准）之间的同类</w:t>
            </w:r>
            <w:r>
              <w:rPr>
                <w:rFonts w:hint="eastAsia" w:ascii="宋体" w:hAnsi="宋体" w:cs="宋体"/>
                <w:sz w:val="24"/>
                <w:szCs w:val="24"/>
                <w:lang w:val="en-US" w:eastAsia="zh-CN"/>
              </w:rPr>
              <w:t>云返校</w:t>
            </w:r>
            <w:r>
              <w:rPr>
                <w:rFonts w:hint="eastAsia" w:ascii="宋体" w:hAnsi="宋体" w:eastAsia="宋体" w:cs="宋体"/>
                <w:sz w:val="24"/>
                <w:szCs w:val="24"/>
              </w:rPr>
              <w:t>系统项目实施</w:t>
            </w:r>
            <w:r>
              <w:rPr>
                <w:rFonts w:hint="eastAsia" w:ascii="宋体" w:hAnsi="宋体" w:eastAsia="宋体" w:cs="宋体"/>
                <w:sz w:val="24"/>
                <w:szCs w:val="24"/>
                <w:lang w:val="en-US" w:eastAsia="zh-CN"/>
              </w:rPr>
              <w:t>服务</w:t>
            </w:r>
            <w:r>
              <w:rPr>
                <w:rFonts w:hint="eastAsia" w:ascii="宋体" w:hAnsi="宋体" w:eastAsia="宋体" w:cs="宋体"/>
                <w:sz w:val="24"/>
                <w:szCs w:val="24"/>
              </w:rPr>
              <w:t>经验</w:t>
            </w:r>
            <w:r>
              <w:rPr>
                <w:rFonts w:hint="eastAsia" w:ascii="宋体" w:hAnsi="宋体" w:cs="宋体"/>
                <w:sz w:val="24"/>
                <w:szCs w:val="24"/>
                <w:lang w:val="en-US" w:eastAsia="zh-CN"/>
              </w:rPr>
              <w:t>至少1次</w:t>
            </w:r>
            <w:r>
              <w:rPr>
                <w:rFonts w:hint="eastAsia" w:ascii="宋体" w:hAnsi="宋体" w:cs="宋体"/>
                <w:sz w:val="24"/>
                <w:szCs w:val="24"/>
                <w:lang w:eastAsia="zh-CN"/>
              </w:rPr>
              <w:t>。</w:t>
            </w:r>
            <w:r>
              <w:rPr>
                <w:rFonts w:hint="eastAsia" w:ascii="宋体" w:hAnsi="宋体" w:eastAsia="宋体" w:cs="宋体"/>
                <w:sz w:val="24"/>
                <w:szCs w:val="24"/>
              </w:rPr>
              <w:t>需提供体现其参与同类</w:t>
            </w:r>
            <w:r>
              <w:rPr>
                <w:rFonts w:hint="eastAsia" w:ascii="宋体" w:hAnsi="宋体" w:cs="宋体"/>
                <w:sz w:val="24"/>
                <w:szCs w:val="24"/>
                <w:lang w:val="en-US" w:eastAsia="zh-CN"/>
              </w:rPr>
              <w:t>云返校</w:t>
            </w:r>
            <w:r>
              <w:rPr>
                <w:rFonts w:hint="eastAsia" w:ascii="宋体" w:hAnsi="宋体" w:eastAsia="宋体" w:cs="宋体"/>
                <w:sz w:val="24"/>
                <w:szCs w:val="24"/>
              </w:rPr>
              <w:t>系统项目建设的业绩证明材料（如项目合同或项目启动单或验收报告等）每</w:t>
            </w:r>
            <w:r>
              <w:rPr>
                <w:rFonts w:hint="eastAsia" w:ascii="宋体" w:hAnsi="宋体" w:cs="宋体"/>
                <w:sz w:val="24"/>
                <w:szCs w:val="24"/>
                <w:lang w:val="en-US" w:eastAsia="zh-CN"/>
              </w:rPr>
              <w:t>多</w:t>
            </w:r>
            <w:r>
              <w:rPr>
                <w:rFonts w:hint="eastAsia" w:ascii="宋体" w:hAnsi="宋体" w:eastAsia="宋体" w:cs="宋体"/>
                <w:sz w:val="24"/>
                <w:szCs w:val="24"/>
              </w:rPr>
              <w:t>提供一个业绩得</w:t>
            </w:r>
            <w:r>
              <w:rPr>
                <w:rFonts w:hint="eastAsia" w:ascii="宋体" w:hAnsi="宋体" w:cs="宋体"/>
                <w:sz w:val="24"/>
                <w:szCs w:val="24"/>
                <w:lang w:val="en-US" w:eastAsia="zh-CN"/>
              </w:rPr>
              <w:t>2</w:t>
            </w:r>
            <w:r>
              <w:rPr>
                <w:rFonts w:hint="eastAsia" w:ascii="宋体" w:hAnsi="宋体" w:eastAsia="宋体" w:cs="宋体"/>
                <w:sz w:val="24"/>
                <w:szCs w:val="24"/>
              </w:rPr>
              <w:t>分，本分项满分</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5C3E93B1">
            <w:pPr>
              <w:kinsoku/>
              <w:autoSpaceDE/>
              <w:autoSpaceDN/>
              <w:adjustRightInd/>
              <w:snapToGrid/>
              <w:spacing w:line="360" w:lineRule="auto"/>
              <w:ind w:right="67" w:rightChars="28"/>
              <w:jc w:val="left"/>
              <w:textAlignment w:val="auto"/>
              <w:rPr>
                <w:rFonts w:hint="eastAsia" w:ascii="宋体" w:hAnsi="宋体" w:eastAsia="宋体" w:cs="宋体"/>
                <w:sz w:val="24"/>
                <w:szCs w:val="24"/>
              </w:rPr>
            </w:pPr>
            <w:r>
              <w:rPr>
                <w:rFonts w:hint="eastAsia" w:ascii="宋体" w:hAnsi="宋体" w:eastAsia="宋体" w:cs="宋体"/>
                <w:sz w:val="24"/>
                <w:szCs w:val="24"/>
              </w:rPr>
              <w:t>2.项目经理具有计算机系统相关高级职称证书，得</w:t>
            </w:r>
            <w:r>
              <w:rPr>
                <w:rFonts w:hint="eastAsia" w:ascii="宋体" w:hAnsi="宋体" w:cs="宋体"/>
                <w:sz w:val="24"/>
                <w:szCs w:val="24"/>
                <w:lang w:val="en-US" w:eastAsia="zh-CN"/>
              </w:rPr>
              <w:t>3</w:t>
            </w:r>
            <w:r>
              <w:rPr>
                <w:rFonts w:hint="eastAsia" w:ascii="宋体" w:hAnsi="宋体" w:eastAsia="宋体" w:cs="宋体"/>
                <w:sz w:val="24"/>
                <w:szCs w:val="24"/>
              </w:rPr>
              <w:t>分，本分项满分</w:t>
            </w:r>
            <w:r>
              <w:rPr>
                <w:rFonts w:hint="eastAsia" w:ascii="宋体" w:hAnsi="宋体" w:cs="宋体"/>
                <w:sz w:val="24"/>
                <w:szCs w:val="24"/>
                <w:lang w:val="en-US" w:eastAsia="zh-CN"/>
              </w:rPr>
              <w:t>3</w:t>
            </w:r>
            <w:r>
              <w:rPr>
                <w:rFonts w:hint="eastAsia" w:ascii="宋体" w:hAnsi="宋体" w:eastAsia="宋体" w:cs="宋体"/>
                <w:sz w:val="24"/>
                <w:szCs w:val="24"/>
              </w:rPr>
              <w:t>分。</w:t>
            </w:r>
          </w:p>
          <w:p w14:paraId="3F402FCF">
            <w:pPr>
              <w:jc w:val="left"/>
              <w:rPr>
                <w:rFonts w:hint="eastAsia" w:ascii="宋体" w:hAnsi="宋体" w:cs="宋体"/>
                <w:bCs/>
                <w:color w:val="000000"/>
                <w:highlight w:val="none"/>
              </w:rPr>
            </w:pPr>
            <w:r>
              <w:rPr>
                <w:rFonts w:hint="eastAsia" w:ascii="宋体" w:hAnsi="宋体" w:eastAsia="宋体" w:cs="宋体"/>
                <w:sz w:val="24"/>
                <w:szCs w:val="24"/>
              </w:rPr>
              <w:t>3.项目团队其他人员（不含项目经理）具有系统架构设计师证书和信息系统项目管理师证书，每有一个证书得</w:t>
            </w:r>
            <w:r>
              <w:rPr>
                <w:rFonts w:hint="eastAsia" w:ascii="宋体" w:hAnsi="宋体" w:cs="宋体"/>
                <w:sz w:val="24"/>
                <w:szCs w:val="24"/>
                <w:lang w:eastAsia="zh-CN"/>
              </w:rPr>
              <w:t>1</w:t>
            </w:r>
            <w:r>
              <w:rPr>
                <w:rFonts w:hint="eastAsia" w:ascii="宋体" w:hAnsi="宋体" w:cs="宋体"/>
                <w:sz w:val="24"/>
                <w:szCs w:val="24"/>
                <w:lang w:val="en-US" w:eastAsia="zh-CN"/>
              </w:rPr>
              <w:t>.5</w:t>
            </w:r>
            <w:r>
              <w:rPr>
                <w:rFonts w:hint="eastAsia" w:ascii="宋体" w:hAnsi="宋体" w:eastAsia="宋体" w:cs="宋体"/>
                <w:sz w:val="24"/>
                <w:szCs w:val="24"/>
              </w:rPr>
              <w:t>分，</w:t>
            </w:r>
            <w:r>
              <w:rPr>
                <w:rFonts w:hint="eastAsia" w:ascii="宋体" w:hAnsi="宋体" w:eastAsia="宋体" w:cs="宋体"/>
                <w:sz w:val="24"/>
                <w:szCs w:val="24"/>
                <w:lang w:val="en-US" w:eastAsia="zh-CN"/>
              </w:rPr>
              <w:t>且为不同人拥有，</w:t>
            </w:r>
            <w:r>
              <w:rPr>
                <w:rFonts w:hint="eastAsia" w:ascii="宋体" w:hAnsi="宋体" w:eastAsia="宋体" w:cs="宋体"/>
                <w:sz w:val="24"/>
                <w:szCs w:val="24"/>
              </w:rPr>
              <w:t>本分项满分</w:t>
            </w:r>
            <w:r>
              <w:rPr>
                <w:rFonts w:hint="eastAsia" w:ascii="宋体" w:hAnsi="宋体" w:cs="宋体"/>
                <w:sz w:val="24"/>
                <w:szCs w:val="24"/>
                <w:lang w:eastAsia="zh-CN"/>
              </w:rPr>
              <w:t>3</w:t>
            </w:r>
            <w:r>
              <w:rPr>
                <w:rFonts w:hint="eastAsia" w:ascii="宋体" w:hAnsi="宋体" w:eastAsia="宋体" w:cs="宋体"/>
                <w:sz w:val="24"/>
                <w:szCs w:val="24"/>
              </w:rPr>
              <w:t>分。</w:t>
            </w:r>
          </w:p>
        </w:tc>
        <w:tc>
          <w:tcPr>
            <w:tcW w:w="1664" w:type="dxa"/>
            <w:shd w:val="clear" w:color="auto" w:fill="auto"/>
            <w:vAlign w:val="top"/>
          </w:tcPr>
          <w:p w14:paraId="382A37DB">
            <w:pPr>
              <w:rPr>
                <w:rFonts w:hint="default" w:ascii="宋体" w:hAnsi="宋体" w:cs="宋体"/>
                <w:highlight w:val="none"/>
                <w:lang w:val="en-US" w:eastAsia="zh-CN"/>
              </w:rPr>
            </w:pPr>
            <w:r>
              <w:rPr>
                <w:rFonts w:hint="eastAsia" w:ascii="宋体" w:hAnsi="宋体" w:cs="宋体"/>
                <w:highlight w:val="none"/>
                <w:lang w:val="en-US" w:eastAsia="zh-CN"/>
              </w:rPr>
              <w:t>10分</w:t>
            </w:r>
          </w:p>
        </w:tc>
      </w:tr>
      <w:tr w14:paraId="0D59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14:paraId="1F779152">
            <w:pPr>
              <w:rPr>
                <w:rFonts w:ascii="宋体" w:hAnsi="宋体" w:cs="宋体"/>
                <w:highlight w:val="none"/>
              </w:rPr>
            </w:pPr>
          </w:p>
        </w:tc>
        <w:tc>
          <w:tcPr>
            <w:tcW w:w="4016" w:type="dxa"/>
          </w:tcPr>
          <w:p w14:paraId="5D1F3272">
            <w:pPr>
              <w:rPr>
                <w:rFonts w:hint="default" w:ascii="宋体" w:hAnsi="宋体" w:eastAsia="宋体" w:cs="宋体"/>
                <w:highlight w:val="none"/>
                <w:lang w:val="en-US" w:eastAsia="zh-CN"/>
              </w:rPr>
            </w:pPr>
            <w:r>
              <w:rPr>
                <w:rFonts w:hint="eastAsia" w:ascii="宋体" w:hAnsi="宋体" w:cs="宋体"/>
                <w:highlight w:val="none"/>
                <w:lang w:val="en-US" w:eastAsia="zh-CN"/>
              </w:rPr>
              <w:t>在</w:t>
            </w:r>
            <w:r>
              <w:rPr>
                <w:rFonts w:hint="eastAsia" w:ascii="宋体" w:hAnsi="宋体" w:cs="宋体"/>
                <w:highlight w:val="none"/>
              </w:rPr>
              <w:t>云返校、云校庆或校庆运营服务（或类似名称）</w:t>
            </w:r>
            <w:r>
              <w:rPr>
                <w:rFonts w:hint="eastAsia" w:ascii="宋体" w:hAnsi="宋体" w:cs="宋体"/>
                <w:highlight w:val="none"/>
                <w:lang w:val="en-US" w:eastAsia="zh-CN"/>
              </w:rPr>
              <w:t>项目上具有技术优势，有相关计算机软件著作权登记证书、或取得相关使用授权。</w:t>
            </w:r>
          </w:p>
          <w:p w14:paraId="1FD6B89A">
            <w:pPr>
              <w:rPr>
                <w:rFonts w:hint="default" w:ascii="宋体" w:hAnsi="宋体" w:eastAsia="宋体" w:cs="宋体"/>
                <w:highlight w:val="none"/>
                <w:lang w:val="en-US" w:eastAsia="zh-CN"/>
              </w:rPr>
            </w:pPr>
            <w:r>
              <w:rPr>
                <w:rFonts w:hint="eastAsia" w:ascii="宋体" w:hAnsi="宋体" w:cs="宋体"/>
                <w:highlight w:val="none"/>
              </w:rPr>
              <w:t>具有有效期内云返校、云校庆</w:t>
            </w:r>
            <w:r>
              <w:rPr>
                <w:rFonts w:hint="eastAsia" w:ascii="宋体" w:hAnsi="宋体" w:cs="宋体"/>
                <w:highlight w:val="none"/>
                <w:lang w:val="en-US" w:eastAsia="zh-CN"/>
              </w:rPr>
              <w:t>或校庆运营服务</w:t>
            </w:r>
            <w:r>
              <w:rPr>
                <w:rFonts w:hint="eastAsia" w:ascii="宋体" w:hAnsi="宋体" w:cs="宋体"/>
                <w:highlight w:val="none"/>
              </w:rPr>
              <w:t>（或类似名称）计算机软件著作权登记证书，每个得</w:t>
            </w:r>
            <w:r>
              <w:rPr>
                <w:rFonts w:hint="eastAsia" w:ascii="宋体" w:hAnsi="宋体" w:cs="宋体"/>
                <w:highlight w:val="none"/>
                <w:lang w:val="en-US" w:eastAsia="zh-CN"/>
              </w:rPr>
              <w:t>5</w:t>
            </w:r>
            <w:r>
              <w:rPr>
                <w:rFonts w:hint="eastAsia" w:ascii="宋体" w:hAnsi="宋体" w:cs="宋体"/>
                <w:highlight w:val="none"/>
              </w:rPr>
              <w:t>分，最高得</w:t>
            </w:r>
            <w:r>
              <w:rPr>
                <w:rFonts w:hint="eastAsia" w:ascii="宋体" w:hAnsi="宋体" w:cs="宋体"/>
                <w:highlight w:val="none"/>
                <w:lang w:val="en-US" w:eastAsia="zh-CN"/>
              </w:rPr>
              <w:t>10</w:t>
            </w:r>
            <w:r>
              <w:rPr>
                <w:rFonts w:hint="eastAsia" w:ascii="宋体" w:hAnsi="宋体" w:cs="宋体"/>
                <w:highlight w:val="none"/>
              </w:rPr>
              <w:t>分。须提供证书复印件</w:t>
            </w:r>
            <w:r>
              <w:rPr>
                <w:rFonts w:hint="eastAsia" w:ascii="宋体" w:hAnsi="宋体" w:cs="宋体"/>
                <w:highlight w:val="none"/>
                <w:lang w:eastAsia="zh-CN"/>
              </w:rPr>
              <w:t>，或者</w:t>
            </w:r>
            <w:r>
              <w:rPr>
                <w:rFonts w:hint="eastAsia" w:ascii="宋体" w:hAnsi="宋体" w:cs="宋体"/>
                <w:highlight w:val="none"/>
                <w:lang w:val="en-US" w:eastAsia="zh-CN"/>
              </w:rPr>
              <w:t>提供</w:t>
            </w:r>
            <w:r>
              <w:rPr>
                <w:rFonts w:hint="eastAsia" w:ascii="宋体" w:hAnsi="宋体" w:cs="宋体"/>
                <w:highlight w:val="none"/>
              </w:rPr>
              <w:t>计算机软件著作权</w:t>
            </w:r>
            <w:r>
              <w:rPr>
                <w:rFonts w:hint="eastAsia" w:ascii="宋体" w:hAnsi="宋体" w:cs="宋体"/>
                <w:highlight w:val="none"/>
                <w:lang w:val="en-US" w:eastAsia="zh-CN"/>
              </w:rPr>
              <w:t>授权使用许可，</w:t>
            </w:r>
            <w:r>
              <w:rPr>
                <w:rFonts w:hint="eastAsia" w:ascii="宋体" w:hAnsi="宋体" w:cs="宋体"/>
                <w:highlight w:val="none"/>
              </w:rPr>
              <w:t>并加盖</w:t>
            </w:r>
            <w:r>
              <w:rPr>
                <w:rFonts w:hint="eastAsia" w:ascii="宋体" w:hAnsi="宋体" w:cs="宋体"/>
                <w:highlight w:val="none"/>
                <w:lang w:val="en-US" w:eastAsia="zh-CN"/>
              </w:rPr>
              <w:t>单位</w:t>
            </w:r>
            <w:r>
              <w:rPr>
                <w:rFonts w:hint="eastAsia" w:ascii="宋体" w:hAnsi="宋体" w:cs="宋体"/>
                <w:highlight w:val="none"/>
              </w:rPr>
              <w:t>公章，否则不得分</w:t>
            </w:r>
            <w:r>
              <w:rPr>
                <w:rFonts w:hint="eastAsia" w:ascii="宋体" w:hAnsi="宋体" w:cs="宋体"/>
                <w:bCs/>
                <w:color w:val="000000"/>
                <w:highlight w:val="none"/>
              </w:rPr>
              <w:t>。</w:t>
            </w:r>
          </w:p>
        </w:tc>
        <w:tc>
          <w:tcPr>
            <w:tcW w:w="1664" w:type="dxa"/>
          </w:tcPr>
          <w:p w14:paraId="556AAB5E">
            <w:pPr>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分</w:t>
            </w:r>
          </w:p>
        </w:tc>
      </w:tr>
      <w:tr w14:paraId="4647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840" w:type="dxa"/>
          </w:tcPr>
          <w:p w14:paraId="40FC637F">
            <w:pPr>
              <w:rPr>
                <w:rFonts w:hint="eastAsia" w:ascii="宋体" w:hAnsi="宋体" w:cs="宋体"/>
                <w:highlight w:val="none"/>
                <w:lang w:val="en-US" w:eastAsia="zh-CN"/>
              </w:rPr>
            </w:pPr>
            <w:r>
              <w:rPr>
                <w:rFonts w:hint="eastAsia" w:ascii="宋体" w:hAnsi="宋体" w:cs="宋体"/>
                <w:highlight w:val="none"/>
                <w:lang w:val="en-US" w:eastAsia="zh-CN"/>
              </w:rPr>
              <w:t>云返校</w:t>
            </w:r>
            <w:r>
              <w:rPr>
                <w:rFonts w:hint="eastAsia" w:ascii="宋体" w:hAnsi="宋体" w:cs="宋体"/>
                <w:highlight w:val="none"/>
              </w:rPr>
              <w:t>活动设计</w:t>
            </w:r>
            <w:r>
              <w:rPr>
                <w:rFonts w:hint="eastAsia" w:ascii="宋体" w:hAnsi="宋体" w:cs="宋体"/>
                <w:highlight w:val="none"/>
                <w:lang w:val="en-US" w:eastAsia="zh-CN"/>
              </w:rPr>
              <w:t>方案</w:t>
            </w:r>
          </w:p>
          <w:p w14:paraId="2B179C19">
            <w:pPr>
              <w:rPr>
                <w:rFonts w:ascii="宋体" w:hAnsi="宋体" w:cs="宋体"/>
                <w:highlight w:val="none"/>
              </w:rPr>
            </w:pPr>
            <w:r>
              <w:rPr>
                <w:rFonts w:hint="eastAsia" w:ascii="宋体" w:hAnsi="宋体" w:cs="宋体"/>
                <w:highlight w:val="none"/>
                <w:lang w:val="en-US" w:eastAsia="zh-CN"/>
              </w:rPr>
              <w:t>（</w:t>
            </w:r>
            <w:r>
              <w:rPr>
                <w:rFonts w:hint="eastAsia" w:ascii="宋体" w:hAnsi="宋体" w:cs="宋体"/>
                <w:highlight w:val="none"/>
              </w:rPr>
              <w:t>满分</w:t>
            </w:r>
            <w:r>
              <w:rPr>
                <w:rFonts w:hint="eastAsia" w:ascii="宋体" w:hAnsi="宋体" w:cs="宋体"/>
                <w:highlight w:val="none"/>
                <w:lang w:val="en-US" w:eastAsia="zh-CN"/>
              </w:rPr>
              <w:t>50</w:t>
            </w:r>
            <w:r>
              <w:rPr>
                <w:rFonts w:hint="eastAsia" w:ascii="宋体" w:hAnsi="宋体" w:cs="宋体"/>
                <w:highlight w:val="none"/>
              </w:rPr>
              <w:t>分）</w:t>
            </w:r>
          </w:p>
        </w:tc>
        <w:tc>
          <w:tcPr>
            <w:tcW w:w="4016" w:type="dxa"/>
          </w:tcPr>
          <w:p w14:paraId="747AD96D">
            <w:pPr>
              <w:rPr>
                <w:rFonts w:hint="eastAsia" w:ascii="宋体" w:hAnsi="宋体" w:cs="宋体"/>
                <w:highlight w:val="none"/>
              </w:rPr>
            </w:pPr>
            <w:r>
              <w:rPr>
                <w:rFonts w:hint="eastAsia" w:ascii="宋体" w:hAnsi="宋体" w:cs="宋体"/>
                <w:highlight w:val="none"/>
              </w:rPr>
              <w:t>根据</w:t>
            </w:r>
            <w:r>
              <w:rPr>
                <w:rFonts w:hint="eastAsia" w:ascii="宋体" w:hAnsi="宋体" w:cs="宋体"/>
                <w:highlight w:val="none"/>
                <w:lang w:val="en-US" w:eastAsia="zh-CN"/>
              </w:rPr>
              <w:t>供应商</w:t>
            </w:r>
            <w:r>
              <w:rPr>
                <w:rFonts w:hint="eastAsia" w:ascii="宋体" w:hAnsi="宋体" w:cs="宋体"/>
                <w:highlight w:val="none"/>
              </w:rPr>
              <w:t>提供的活动设计初案，从活动主题贴合性、创意性、设计效果等方面情况，由评选小组进行评分：贴合活动主题，充分展现创新创意等内容，设计配色美观典雅的得</w:t>
            </w:r>
            <w:r>
              <w:rPr>
                <w:rFonts w:hint="eastAsia" w:ascii="宋体" w:hAnsi="宋体" w:cs="宋体"/>
                <w:highlight w:val="none"/>
                <w:lang w:val="en-US" w:eastAsia="zh-CN"/>
              </w:rPr>
              <w:t>41～5</w:t>
            </w:r>
            <w:r>
              <w:rPr>
                <w:rFonts w:hint="eastAsia" w:ascii="宋体" w:hAnsi="宋体" w:cs="宋体"/>
                <w:highlight w:val="none"/>
              </w:rPr>
              <w:t>0分；较为贴合活动主题，较能展现创新创意等内容，设计配色效果较好的得</w:t>
            </w:r>
            <w:r>
              <w:rPr>
                <w:rFonts w:hint="eastAsia" w:ascii="宋体" w:hAnsi="宋体" w:cs="宋体"/>
                <w:highlight w:val="none"/>
                <w:lang w:val="en-US" w:eastAsia="zh-CN"/>
              </w:rPr>
              <w:t>31～40</w:t>
            </w:r>
            <w:r>
              <w:rPr>
                <w:rFonts w:hint="eastAsia" w:ascii="宋体" w:hAnsi="宋体" w:cs="宋体"/>
                <w:highlight w:val="none"/>
              </w:rPr>
              <w:t>分；主题贴合性、内容创意性、设计效果一般的得</w:t>
            </w:r>
            <w:r>
              <w:rPr>
                <w:rFonts w:hint="eastAsia" w:ascii="宋体" w:hAnsi="宋体" w:cs="宋体"/>
                <w:highlight w:val="none"/>
                <w:lang w:val="en-US" w:eastAsia="zh-CN"/>
              </w:rPr>
              <w:t>11～30</w:t>
            </w:r>
            <w:r>
              <w:rPr>
                <w:rFonts w:hint="eastAsia" w:ascii="宋体" w:hAnsi="宋体" w:cs="宋体"/>
                <w:highlight w:val="none"/>
              </w:rPr>
              <w:t>分。</w:t>
            </w:r>
          </w:p>
          <w:p w14:paraId="488FB792">
            <w:pPr>
              <w:rPr>
                <w:rFonts w:ascii="宋体" w:hAnsi="宋体" w:cs="宋体"/>
                <w:highlight w:val="none"/>
              </w:rPr>
            </w:pPr>
            <w:r>
              <w:rPr>
                <w:rFonts w:hint="eastAsia" w:ascii="宋体" w:hAnsi="宋体" w:cs="宋体"/>
                <w:highlight w:val="none"/>
                <w:lang w:val="en-US" w:eastAsia="zh-CN"/>
              </w:rPr>
              <w:t>为更好地查看设计方案效果，需彩色打印活动方案，</w:t>
            </w:r>
            <w:r>
              <w:rPr>
                <w:rFonts w:hint="eastAsia" w:ascii="宋体" w:hAnsi="宋体" w:cs="宋体"/>
                <w:highlight w:val="none"/>
              </w:rPr>
              <w:t>未提供活动设计</w:t>
            </w:r>
            <w:r>
              <w:rPr>
                <w:rFonts w:hint="eastAsia" w:ascii="宋体" w:hAnsi="宋体" w:cs="宋体"/>
                <w:highlight w:val="none"/>
                <w:lang w:val="en-US" w:eastAsia="zh-CN"/>
              </w:rPr>
              <w:t>方案</w:t>
            </w:r>
            <w:r>
              <w:rPr>
                <w:rFonts w:hint="eastAsia" w:ascii="宋体" w:hAnsi="宋体" w:cs="宋体"/>
                <w:highlight w:val="none"/>
              </w:rPr>
              <w:t xml:space="preserve">的不得分。 </w:t>
            </w:r>
          </w:p>
        </w:tc>
        <w:tc>
          <w:tcPr>
            <w:tcW w:w="1664" w:type="dxa"/>
          </w:tcPr>
          <w:p w14:paraId="07E128E2">
            <w:pPr>
              <w:rPr>
                <w:rFonts w:ascii="宋体" w:hAnsi="宋体" w:cs="宋体"/>
                <w:highlight w:val="none"/>
              </w:rPr>
            </w:pPr>
            <w:r>
              <w:rPr>
                <w:rFonts w:hint="eastAsia" w:ascii="宋体" w:hAnsi="宋体" w:cs="宋体"/>
                <w:highlight w:val="none"/>
                <w:lang w:val="en-US" w:eastAsia="zh-CN"/>
              </w:rPr>
              <w:t>50</w:t>
            </w:r>
            <w:r>
              <w:rPr>
                <w:rFonts w:hint="eastAsia" w:ascii="宋体" w:hAnsi="宋体" w:cs="宋体"/>
                <w:highlight w:val="none"/>
              </w:rPr>
              <w:t>分</w:t>
            </w:r>
          </w:p>
        </w:tc>
      </w:tr>
    </w:tbl>
    <w:p w14:paraId="27311255">
      <w:pPr>
        <w:spacing w:line="500" w:lineRule="exact"/>
        <w:rPr>
          <w:sz w:val="28"/>
          <w:szCs w:val="28"/>
          <w:highlight w:val="none"/>
        </w:rPr>
      </w:pPr>
    </w:p>
    <w:p w14:paraId="742BCCC6">
      <w:pPr>
        <w:pStyle w:val="11"/>
        <w:autoSpaceDE w:val="0"/>
        <w:spacing w:line="460" w:lineRule="exact"/>
        <w:ind w:firstLine="480"/>
        <w:jc w:val="left"/>
        <w:rPr>
          <w:rFonts w:ascii="宋体" w:hAnsi="宋体" w:cs="宋体"/>
          <w:highlight w:val="none"/>
        </w:rPr>
      </w:pPr>
      <w:r>
        <w:rPr>
          <w:rFonts w:hint="eastAsia" w:ascii="宋体" w:hAnsi="宋体" w:cs="宋体"/>
          <w:highlight w:val="none"/>
        </w:rPr>
        <w:t>202</w:t>
      </w:r>
      <w:r>
        <w:rPr>
          <w:rFonts w:hint="eastAsia" w:ascii="宋体" w:hAnsi="宋体" w:cs="宋体"/>
          <w:highlight w:val="none"/>
          <w:lang w:val="en-US" w:eastAsia="zh-CN"/>
        </w:rPr>
        <w:t>5</w:t>
      </w:r>
      <w:r>
        <w:rPr>
          <w:rFonts w:hint="eastAsia" w:ascii="宋体" w:hAnsi="宋体" w:cs="宋体"/>
          <w:highlight w:val="none"/>
        </w:rPr>
        <w:t>年11月</w:t>
      </w:r>
      <w:r>
        <w:rPr>
          <w:rFonts w:hint="eastAsia" w:ascii="宋体" w:hAnsi="宋体" w:cs="宋体"/>
          <w:highlight w:val="none"/>
          <w:lang w:val="en-US" w:eastAsia="zh-CN"/>
        </w:rPr>
        <w:t>7</w:t>
      </w:r>
      <w:r>
        <w:rPr>
          <w:rFonts w:hint="eastAsia" w:ascii="宋体" w:hAnsi="宋体" w:cs="宋体"/>
          <w:highlight w:val="none"/>
        </w:rPr>
        <w:t>日17:00前将纸质报价文件（包括但不限于：报价表、</w:t>
      </w:r>
      <w:r>
        <w:rPr>
          <w:rFonts w:hint="eastAsia" w:ascii="宋体" w:hAnsi="宋体" w:cs="宋体"/>
          <w:highlight w:val="none"/>
          <w:lang w:val="en-US" w:eastAsia="zh-CN"/>
        </w:rPr>
        <w:t>供应商</w:t>
      </w:r>
      <w:r>
        <w:rPr>
          <w:rFonts w:hint="eastAsia" w:ascii="宋体" w:hAnsi="宋体" w:cs="宋体"/>
          <w:highlight w:val="none"/>
        </w:rPr>
        <w:t>资质证明材料、活动设计</w:t>
      </w:r>
      <w:r>
        <w:rPr>
          <w:rFonts w:hint="eastAsia" w:ascii="宋体" w:hAnsi="宋体" w:cs="宋体"/>
          <w:highlight w:val="none"/>
          <w:lang w:val="en-US" w:eastAsia="zh-CN"/>
        </w:rPr>
        <w:t>方案</w:t>
      </w:r>
      <w:r>
        <w:rPr>
          <w:rFonts w:hint="eastAsia" w:ascii="宋体" w:hAnsi="宋体" w:cs="宋体"/>
          <w:highlight w:val="none"/>
        </w:rPr>
        <w:t>等）通过顺丰快递/EMS快递方式寄至或送至福建省福州市闽侯县福建师范大学旗山校区行政楼719办公室（收件人黄老师0591-22867188）。</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5F389A"/>
    <w:multiLevelType w:val="multilevel"/>
    <w:tmpl w:val="B05F389A"/>
    <w:lvl w:ilvl="0" w:tentative="0">
      <w:start w:val="1"/>
      <w:numFmt w:val="chineseCounting"/>
      <w:pStyle w:val="2"/>
      <w:lvlText w:val="%1."/>
      <w:lvlJc w:val="left"/>
      <w:pPr>
        <w:ind w:left="425" w:hanging="425"/>
      </w:pPr>
      <w:rPr>
        <w:rFonts w:hint="eastAsia" w:ascii="宋体" w:hAnsi="宋体" w:eastAsia="宋体" w:cs="宋体"/>
      </w:rPr>
    </w:lvl>
    <w:lvl w:ilvl="1" w:tentative="0">
      <w:start w:val="1"/>
      <w:numFmt w:val="decimal"/>
      <w:lvlText w:val="%2."/>
      <w:lvlJc w:val="left"/>
      <w:pPr>
        <w:ind w:left="567" w:hanging="567"/>
      </w:pPr>
      <w:rPr>
        <w:rFonts w:hint="eastAsia" w:ascii="宋体" w:hAnsi="宋体" w:eastAsia="宋体" w:cs="宋体"/>
      </w:rPr>
    </w:lvl>
    <w:lvl w:ilvl="2" w:tentative="0">
      <w:start w:val="1"/>
      <w:numFmt w:val="decimal"/>
      <w:lvlText w:val="%2.%3."/>
      <w:lvlJc w:val="left"/>
      <w:pPr>
        <w:ind w:left="709" w:hanging="709"/>
      </w:pPr>
      <w:rPr>
        <w:rFonts w:hint="eastAsia" w:ascii="宋体" w:hAnsi="宋体" w:eastAsia="宋体" w:cs="宋体"/>
      </w:rPr>
    </w:lvl>
    <w:lvl w:ilvl="3" w:tentative="0">
      <w:start w:val="1"/>
      <w:numFmt w:val="decimal"/>
      <w:lvlText w:val="%2.%3.%4."/>
      <w:lvlJc w:val="left"/>
      <w:pPr>
        <w:ind w:left="851" w:hanging="851"/>
      </w:pPr>
      <w:rPr>
        <w:rFonts w:hint="eastAsia" w:ascii="宋体" w:hAnsi="宋体" w:eastAsia="宋体" w:cs="宋体"/>
      </w:rPr>
    </w:lvl>
    <w:lvl w:ilvl="4" w:tentative="0">
      <w:start w:val="1"/>
      <w:numFmt w:val="decimal"/>
      <w:lvlText w:val="%2.%3.%4.%5."/>
      <w:lvlJc w:val="left"/>
      <w:pPr>
        <w:ind w:left="992" w:hanging="992"/>
      </w:pPr>
      <w:rPr>
        <w:rFonts w:hint="eastAsia" w:ascii="宋体" w:hAnsi="宋体" w:eastAsia="宋体" w:cs="宋体"/>
      </w:rPr>
    </w:lvl>
    <w:lvl w:ilvl="5" w:tentative="0">
      <w:start w:val="1"/>
      <w:numFmt w:val="decimal"/>
      <w:lvlText w:val="%2.%3.%4.%5.%6."/>
      <w:lvlJc w:val="left"/>
      <w:pPr>
        <w:ind w:left="1134" w:hanging="1134"/>
      </w:pPr>
      <w:rPr>
        <w:rFonts w:hint="eastAsia" w:ascii="宋体" w:hAnsi="宋体" w:eastAsia="宋体" w:cs="宋体"/>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
    <w:nsid w:val="EDB2F8FC"/>
    <w:multiLevelType w:val="singleLevel"/>
    <w:tmpl w:val="EDB2F8FC"/>
    <w:lvl w:ilvl="0" w:tentative="0">
      <w:start w:val="1"/>
      <w:numFmt w:val="decimal"/>
      <w:suff w:val="nothing"/>
      <w:lvlText w:val="%1、"/>
      <w:lvlJc w:val="left"/>
    </w:lvl>
  </w:abstractNum>
  <w:abstractNum w:abstractNumId="2">
    <w:nsid w:val="2D5D327C"/>
    <w:multiLevelType w:val="singleLevel"/>
    <w:tmpl w:val="2D5D327C"/>
    <w:lvl w:ilvl="0" w:tentative="0">
      <w:start w:val="1"/>
      <w:numFmt w:val="decimal"/>
      <w:suff w:val="nothing"/>
      <w:lvlText w:val="%1、"/>
      <w:lvlJc w:val="left"/>
    </w:lvl>
  </w:abstractNum>
  <w:abstractNum w:abstractNumId="3">
    <w:nsid w:val="5A68AD7D"/>
    <w:multiLevelType w:val="multilevel"/>
    <w:tmpl w:val="5A68AD7D"/>
    <w:lvl w:ilvl="0" w:tentative="0">
      <w:start w:val="1"/>
      <w:numFmt w:val="chineseCounting"/>
      <w:pStyle w:val="3"/>
      <w:lvlText w:val="%1."/>
      <w:lvlJc w:val="left"/>
      <w:pPr>
        <w:ind w:left="425" w:hanging="425"/>
      </w:pPr>
      <w:rPr>
        <w:rFonts w:hint="eastAsia" w:ascii="宋体" w:hAnsi="宋体" w:eastAsia="宋体" w:cs="宋体"/>
      </w:rPr>
    </w:lvl>
    <w:lvl w:ilvl="1" w:tentative="0">
      <w:start w:val="1"/>
      <w:numFmt w:val="decimal"/>
      <w:lvlText w:val="%2."/>
      <w:lvlJc w:val="left"/>
      <w:pPr>
        <w:ind w:left="567" w:hanging="567"/>
      </w:pPr>
      <w:rPr>
        <w:rFonts w:hint="eastAsia" w:ascii="宋体" w:hAnsi="宋体" w:eastAsia="宋体" w:cs="宋体"/>
      </w:rPr>
    </w:lvl>
    <w:lvl w:ilvl="2" w:tentative="0">
      <w:start w:val="1"/>
      <w:numFmt w:val="decimal"/>
      <w:lvlText w:val="%2.%3."/>
      <w:lvlJc w:val="left"/>
      <w:pPr>
        <w:ind w:left="709" w:hanging="709"/>
      </w:pPr>
      <w:rPr>
        <w:rFonts w:hint="eastAsia" w:ascii="宋体" w:hAnsi="宋体" w:eastAsia="宋体" w:cs="宋体"/>
      </w:rPr>
    </w:lvl>
    <w:lvl w:ilvl="3" w:tentative="0">
      <w:start w:val="1"/>
      <w:numFmt w:val="decimal"/>
      <w:lvlText w:val="%2.%3.%4."/>
      <w:lvlJc w:val="left"/>
      <w:pPr>
        <w:ind w:left="851" w:hanging="851"/>
      </w:pPr>
      <w:rPr>
        <w:rFonts w:hint="eastAsia" w:ascii="宋体" w:hAnsi="宋体" w:eastAsia="宋体" w:cs="宋体"/>
      </w:rPr>
    </w:lvl>
    <w:lvl w:ilvl="4" w:tentative="0">
      <w:start w:val="1"/>
      <w:numFmt w:val="decimal"/>
      <w:lvlText w:val="%2.%3.%4.%5."/>
      <w:lvlJc w:val="left"/>
      <w:pPr>
        <w:ind w:left="992" w:hanging="992"/>
      </w:pPr>
      <w:rPr>
        <w:rFonts w:hint="eastAsia" w:ascii="宋体" w:hAnsi="宋体" w:eastAsia="宋体" w:cs="宋体"/>
      </w:rPr>
    </w:lvl>
    <w:lvl w:ilvl="5" w:tentative="0">
      <w:start w:val="1"/>
      <w:numFmt w:val="decimal"/>
      <w:lvlText w:val="%2.%3.%4.%5.%6."/>
      <w:lvlJc w:val="left"/>
      <w:pPr>
        <w:ind w:left="1134" w:hanging="1134"/>
      </w:pPr>
      <w:rPr>
        <w:rFonts w:hint="eastAsia" w:ascii="宋体" w:hAnsi="宋体" w:eastAsia="宋体" w:cs="宋体"/>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4">
    <w:nsid w:val="79861D3C"/>
    <w:multiLevelType w:val="multilevel"/>
    <w:tmpl w:val="79861D3C"/>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default" w:ascii="宋体" w:hAnsi="宋体" w:eastAsia="宋体" w:cs="宋体"/>
        <w:sz w:val="28"/>
        <w:szCs w:val="28"/>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hideSpellingErrors/>
  <w:hideGrammaticalErrors/>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BmNGM4NWJlZDFlZWRhYTQ0NGVlM2ZlZmQyYzQ4NWMifQ=="/>
  </w:docVars>
  <w:rsids>
    <w:rsidRoot w:val="72B90BE0"/>
    <w:rsid w:val="00010162"/>
    <w:rsid w:val="00161B85"/>
    <w:rsid w:val="002D7099"/>
    <w:rsid w:val="0030240B"/>
    <w:rsid w:val="00437593"/>
    <w:rsid w:val="00463417"/>
    <w:rsid w:val="0055579C"/>
    <w:rsid w:val="005600A9"/>
    <w:rsid w:val="00567475"/>
    <w:rsid w:val="005C7FC9"/>
    <w:rsid w:val="005E2483"/>
    <w:rsid w:val="007A51D9"/>
    <w:rsid w:val="007E5B50"/>
    <w:rsid w:val="00887EBB"/>
    <w:rsid w:val="00962259"/>
    <w:rsid w:val="009C2252"/>
    <w:rsid w:val="00A0753A"/>
    <w:rsid w:val="00A22FFA"/>
    <w:rsid w:val="00A34A50"/>
    <w:rsid w:val="00A6427C"/>
    <w:rsid w:val="00AD4245"/>
    <w:rsid w:val="00B70463"/>
    <w:rsid w:val="00C9539C"/>
    <w:rsid w:val="00DB5B18"/>
    <w:rsid w:val="00E52D77"/>
    <w:rsid w:val="0A2D5046"/>
    <w:rsid w:val="10DD4002"/>
    <w:rsid w:val="124B6F87"/>
    <w:rsid w:val="14033011"/>
    <w:rsid w:val="15622D60"/>
    <w:rsid w:val="15701A68"/>
    <w:rsid w:val="15D249AC"/>
    <w:rsid w:val="173E1809"/>
    <w:rsid w:val="19241D0A"/>
    <w:rsid w:val="1B294C6D"/>
    <w:rsid w:val="1D6178DD"/>
    <w:rsid w:val="1E2D559E"/>
    <w:rsid w:val="1E3A3B40"/>
    <w:rsid w:val="20F93DE4"/>
    <w:rsid w:val="251A2894"/>
    <w:rsid w:val="266F679F"/>
    <w:rsid w:val="26B02E2F"/>
    <w:rsid w:val="282860BD"/>
    <w:rsid w:val="2E875EEC"/>
    <w:rsid w:val="338D6DF6"/>
    <w:rsid w:val="38EF30F5"/>
    <w:rsid w:val="3FEA7D99"/>
    <w:rsid w:val="41911E9C"/>
    <w:rsid w:val="45FD14CD"/>
    <w:rsid w:val="484424E4"/>
    <w:rsid w:val="4E781846"/>
    <w:rsid w:val="4E86609F"/>
    <w:rsid w:val="4EB6354D"/>
    <w:rsid w:val="50F809D1"/>
    <w:rsid w:val="543945E2"/>
    <w:rsid w:val="5AB16BD5"/>
    <w:rsid w:val="5D0B42DE"/>
    <w:rsid w:val="5D821D30"/>
    <w:rsid w:val="69B65F90"/>
    <w:rsid w:val="6F581A44"/>
    <w:rsid w:val="72B90BE0"/>
    <w:rsid w:val="73D12595"/>
    <w:rsid w:val="758374DB"/>
    <w:rsid w:val="775A419F"/>
    <w:rsid w:val="784F3213"/>
    <w:rsid w:val="7C8013FC"/>
    <w:rsid w:val="7DE164EB"/>
    <w:rsid w:val="7EF81C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39"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rFonts w:ascii="宋体" w:hAnsi="宋体" w:cs="宋体"/>
      <w:b/>
      <w:kern w:val="44"/>
      <w:sz w:val="28"/>
    </w:rPr>
  </w:style>
  <w:style w:type="paragraph" w:styleId="3">
    <w:name w:val="heading 2"/>
    <w:basedOn w:val="1"/>
    <w:next w:val="1"/>
    <w:semiHidden/>
    <w:unhideWhenUsed/>
    <w:qFormat/>
    <w:uiPriority w:val="0"/>
    <w:pPr>
      <w:keepNext/>
      <w:keepLines/>
      <w:numPr>
        <w:ilvl w:val="0"/>
        <w:numId w:val="2"/>
      </w:numPr>
      <w:outlineLvl w:val="1"/>
    </w:pPr>
    <w:rPr>
      <w:rFonts w:ascii="Arial" w:hAnsi="Arial"/>
      <w:b/>
      <w:sz w:val="28"/>
    </w:rPr>
  </w:style>
  <w:style w:type="paragraph" w:styleId="4">
    <w:name w:val="heading 3"/>
    <w:basedOn w:val="1"/>
    <w:next w:val="1"/>
    <w:unhideWhenUsed/>
    <w:qFormat/>
    <w:uiPriority w:val="0"/>
    <w:pPr>
      <w:keepNext/>
      <w:keepLines/>
      <w:numPr>
        <w:ilvl w:val="2"/>
        <w:numId w:val="3"/>
      </w:numPr>
      <w:outlineLvl w:val="2"/>
    </w:pPr>
    <w:rPr>
      <w:b/>
      <w:sz w:val="28"/>
    </w:rPr>
  </w:style>
  <w:style w:type="paragraph" w:styleId="5">
    <w:name w:val="heading 4"/>
    <w:basedOn w:val="1"/>
    <w:next w:val="1"/>
    <w:qFormat/>
    <w:uiPriority w:val="0"/>
    <w:pPr>
      <w:keepNext/>
      <w:keepLines/>
      <w:spacing w:before="120" w:after="120"/>
      <w:outlineLvl w:val="3"/>
    </w:pPr>
    <w:rPr>
      <w:rFonts w:ascii="Arial" w:hAnsi="Arial" w:eastAsia="黑体"/>
      <w:b/>
      <w:sz w:val="2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unhideWhenUsed/>
    <w:qFormat/>
    <w:uiPriority w:val="99"/>
    <w:pPr>
      <w:jc w:val="left"/>
    </w:pPr>
  </w:style>
  <w:style w:type="table" w:styleId="8">
    <w:name w:val="Table Grid"/>
    <w:basedOn w:val="7"/>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修订1"/>
    <w:hidden/>
    <w:unhideWhenUsed/>
    <w:qFormat/>
    <w:uiPriority w:val="99"/>
    <w:rPr>
      <w:rFonts w:eastAsia="宋体" w:asciiTheme="minorHAnsi" w:hAnsiTheme="minorHAnsi" w:cstheme="minorBidi"/>
      <w:kern w:val="2"/>
      <w:sz w:val="24"/>
      <w:szCs w:val="24"/>
      <w:lang w:val="en-US" w:eastAsia="zh-CN" w:bidi="ar-SA"/>
    </w:rPr>
  </w:style>
  <w:style w:type="paragraph" w:styleId="11">
    <w:name w:val="List Paragraph"/>
    <w:basedOn w:val="1"/>
    <w:unhideWhenUsed/>
    <w:qFormat/>
    <w:uiPriority w:val="99"/>
    <w:pPr>
      <w:ind w:firstLine="420" w:firstLineChars="200"/>
    </w:pPr>
  </w:style>
  <w:style w:type="paragraph" w:customStyle="1" w:styleId="12">
    <w:name w:val="修订2"/>
    <w:hidden/>
    <w:unhideWhenUsed/>
    <w:qFormat/>
    <w:uiPriority w:val="99"/>
    <w:rPr>
      <w:rFonts w:eastAsia="宋体" w:asciiTheme="minorHAnsi" w:hAnsiTheme="minorHAnsi" w:cstheme="minorBidi"/>
      <w:kern w:val="2"/>
      <w:sz w:val="24"/>
      <w:szCs w:val="24"/>
      <w:lang w:val="en-US" w:eastAsia="zh-CN" w:bidi="ar-SA"/>
    </w:rPr>
  </w:style>
  <w:style w:type="paragraph" w:customStyle="1" w:styleId="13">
    <w:name w:val="修订3"/>
    <w:hidden/>
    <w:unhideWhenUsed/>
    <w:qFormat/>
    <w:uiPriority w:val="99"/>
    <w:rPr>
      <w:rFonts w:eastAsia="宋体" w:asciiTheme="minorHAnsi" w:hAnsiTheme="minorHAnsi" w:cstheme="minorBidi"/>
      <w:kern w:val="2"/>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2798</Words>
  <Characters>2953</Characters>
  <Lines>15</Lines>
  <Paragraphs>4</Paragraphs>
  <TotalTime>24</TotalTime>
  <ScaleCrop>false</ScaleCrop>
  <LinksUpToDate>false</LinksUpToDate>
  <CharactersWithSpaces>2958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2024-11-04T01:30:00Z</dcterms:created>
  <dc:creator>王非凡</dc:creator>
  <cp:lastModifiedBy>黄林奇</cp:lastModifiedBy>
  <cp:lastPrinted>2023-11-07T01:49:00Z</cp:lastPrinted>
  <dcterms:modified xsi:type="dcterms:W3CDTF">2025-11-03T07:59:08Z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72FB97984DEB4DC08D3133E5DD764259_13</vt:lpwstr>
  </property>
  <property fmtid="{D5CDD505-2E9C-101B-9397-08002B2CF9AE}" pid="4" name="KSOTemplateDocerSaveRecord">
    <vt:lpwstr>eyJoZGlkIjoiNTBmNGM4NWJlZDFlZWRhYTQ0NGVlM2ZlZmQyYzQ4NWMiLCJ1c2VySWQiOiIxNDQ5MzY5MzYifQ==</vt:lpwstr>
  </property>
</Properties>
</file>