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E4C10E">
      <w:pPr>
        <w:jc w:val="center"/>
        <w:rPr>
          <w:rFonts w:hint="eastAsia" w:ascii="黑体" w:hAnsi="黑体" w:eastAsia="黑体" w:cs="黑体"/>
          <w:kern w:val="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2026年</w:t>
      </w:r>
      <w:r>
        <w:rPr>
          <w:rFonts w:hint="eastAsia" w:ascii="黑体" w:hAnsi="黑体" w:eastAsia="黑体" w:cs="黑体"/>
          <w:kern w:val="0"/>
          <w:sz w:val="36"/>
          <w:szCs w:val="36"/>
          <w:lang w:val="en-US" w:eastAsia="zh-CN"/>
        </w:rPr>
        <w:t>海外教育学院暑期社会实践研学活动服务项目采购方案</w:t>
      </w:r>
    </w:p>
    <w:p w14:paraId="315D89D3">
      <w:pPr>
        <w:jc w:val="center"/>
        <w:rPr>
          <w:rFonts w:hint="eastAsia" w:ascii="黑体" w:hAnsi="黑体" w:eastAsia="黑体" w:cs="黑体"/>
          <w:kern w:val="0"/>
          <w:sz w:val="36"/>
          <w:szCs w:val="36"/>
          <w:lang w:val="en-US" w:eastAsia="zh-CN"/>
        </w:rPr>
      </w:pPr>
    </w:p>
    <w:p w14:paraId="3A66B887">
      <w:pPr>
        <w:pStyle w:val="3"/>
        <w:numPr>
          <w:ilvl w:val="0"/>
          <w:numId w:val="2"/>
        </w:numPr>
        <w:spacing w:before="0" w:after="0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lang w:val="en-US" w:eastAsia="zh-CN"/>
        </w:rPr>
        <w:t>项目概述</w:t>
      </w:r>
    </w:p>
    <w:p w14:paraId="298A140F">
      <w:pPr>
        <w:pStyle w:val="3"/>
        <w:numPr>
          <w:ilvl w:val="0"/>
          <w:numId w:val="0"/>
        </w:numPr>
        <w:spacing w:before="0" w:after="0"/>
        <w:ind w:firstLine="560" w:firstLineChars="200"/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1、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项目名称：</w:t>
      </w:r>
    </w:p>
    <w:p w14:paraId="3BA031B3">
      <w:pPr>
        <w:pStyle w:val="3"/>
        <w:numPr>
          <w:ilvl w:val="0"/>
          <w:numId w:val="0"/>
        </w:numPr>
        <w:spacing w:before="0" w:after="0"/>
        <w:ind w:firstLine="560" w:firstLineChars="200"/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2026年福建师范大学 “行见华夏・三秦寻脉”暑期社会实践研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学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活动服务项目</w:t>
      </w:r>
    </w:p>
    <w:p w14:paraId="0E228A63">
      <w:pPr>
        <w:pStyle w:val="3"/>
        <w:numPr>
          <w:ilvl w:val="0"/>
          <w:numId w:val="0"/>
        </w:numPr>
        <w:spacing w:before="0" w:after="0"/>
        <w:ind w:firstLine="560" w:firstLineChars="200"/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（2）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2026年“黄廷方-信和港澳台侨青年学生国情教育”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研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学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（社会实践）活动</w:t>
      </w:r>
    </w:p>
    <w:p w14:paraId="0853349E">
      <w:pPr>
        <w:pStyle w:val="3"/>
        <w:numPr>
          <w:ilvl w:val="0"/>
          <w:numId w:val="0"/>
        </w:numPr>
        <w:spacing w:before="0" w:after="0"/>
        <w:ind w:firstLine="560" w:firstLineChars="200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2、研学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时间：</w:t>
      </w:r>
    </w:p>
    <w:p w14:paraId="53CB1A50">
      <w:pPr>
        <w:pStyle w:val="3"/>
        <w:numPr>
          <w:ilvl w:val="0"/>
          <w:numId w:val="0"/>
        </w:numPr>
        <w:spacing w:before="0" w:after="0"/>
        <w:ind w:firstLine="560" w:firstLineChars="200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（1）2026年7月10-18日“行见华夏・三秦寻脉”</w:t>
      </w:r>
    </w:p>
    <w:p w14:paraId="3738CB2B">
      <w:pPr>
        <w:pStyle w:val="3"/>
        <w:numPr>
          <w:ilvl w:val="0"/>
          <w:numId w:val="0"/>
        </w:numPr>
        <w:spacing w:before="0" w:after="0"/>
        <w:ind w:firstLine="560" w:firstLineChars="200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（2）2026年7月12日-17日“黄廷方-信和港澳台侨青年学生国情教育” </w:t>
      </w:r>
    </w:p>
    <w:p w14:paraId="638C1666">
      <w:pPr>
        <w:pStyle w:val="3"/>
        <w:numPr>
          <w:ilvl w:val="0"/>
          <w:numId w:val="0"/>
        </w:numPr>
        <w:spacing w:before="0" w:after="0"/>
        <w:ind w:firstLine="560" w:firstLineChars="200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3、项目金额：</w:t>
      </w:r>
    </w:p>
    <w:p w14:paraId="0081010B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预算为人民币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u w:val="none"/>
          <w:lang w:val="en-US" w:eastAsia="zh-CN" w:bidi="ar-SA"/>
        </w:rPr>
        <w:t xml:space="preserve"> </w:t>
      </w:r>
      <w:r>
        <w:rPr>
          <w:rFonts w:hint="eastAsia" w:ascii="宋体" w:hAnsi="宋体" w:eastAsia="宋体" w:cs="宋体"/>
          <w:b/>
          <w:bCs/>
          <w:kern w:val="2"/>
          <w:sz w:val="28"/>
          <w:szCs w:val="28"/>
          <w:u w:val="none"/>
          <w:lang w:val="en-US" w:eastAsia="zh-CN" w:bidi="ar-SA"/>
        </w:rPr>
        <w:t xml:space="preserve"> 92000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元。（</w:t>
      </w:r>
      <w:r>
        <w:rPr>
          <w:rFonts w:hint="eastAsia" w:ascii="宋体" w:hAnsi="宋体" w:eastAsia="宋体" w:cs="宋体"/>
          <w:b/>
          <w:bCs/>
          <w:kern w:val="2"/>
          <w:sz w:val="28"/>
          <w:szCs w:val="28"/>
          <w:u w:val="single"/>
          <w:lang w:val="en-US" w:eastAsia="zh-CN" w:bidi="ar-SA"/>
        </w:rPr>
        <w:t>含宣传费用、摄影摄像 、路线设计费用、导游服务 、物料、安全保障等全部费用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）</w:t>
      </w:r>
    </w:p>
    <w:p w14:paraId="7777E5AA">
      <w:pPr>
        <w:numPr>
          <w:ilvl w:val="0"/>
          <w:numId w:val="0"/>
        </w:numPr>
        <w:ind w:leftChars="0" w:firstLine="560" w:firstLineChars="200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4、研学地点：</w:t>
      </w:r>
    </w:p>
    <w:p w14:paraId="14CEA1EA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 xml:space="preserve">    陕西、河南</w:t>
      </w:r>
    </w:p>
    <w:p w14:paraId="45ED82C8">
      <w:pPr>
        <w:keepNext w:val="0"/>
        <w:keepLines w:val="0"/>
        <w:widowControl/>
        <w:numPr>
          <w:ilvl w:val="0"/>
          <w:numId w:val="0"/>
        </w:numPr>
        <w:suppressLineNumbers w:val="0"/>
        <w:ind w:leftChars="0" w:firstLine="560" w:firstLineChars="200"/>
        <w:jc w:val="left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5、本项目为学生研学综合服务采购，包含研学课程设计、研学师资授课、往返交通保障、场地活动组织、餐饮住宿安排、安全应急保障、研学物料配备、研学成果评价、摄影记录、购买专项保险等全套一体化研学服务。</w:t>
      </w:r>
    </w:p>
    <w:p w14:paraId="300F942B">
      <w:pPr>
        <w:keepNext w:val="0"/>
        <w:keepLines w:val="0"/>
        <w:widowControl/>
        <w:numPr>
          <w:ilvl w:val="0"/>
          <w:numId w:val="0"/>
        </w:numPr>
        <w:suppressLineNumbers w:val="0"/>
        <w:ind w:leftChars="0" w:firstLine="560" w:firstLineChars="200"/>
        <w:jc w:val="left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6、申请单位需严格按照教育部门研学旅行管理相关规定，结合本校育人目标，定制标准化、特色化、安全性、教育性兼具的研学实施方案，全程统筹、闭环管理、落地执行全部研学活动。</w:t>
      </w:r>
    </w:p>
    <w:p w14:paraId="156F546D">
      <w:pPr>
        <w:pStyle w:val="3"/>
        <w:keepNext w:val="0"/>
        <w:keepLines w:val="0"/>
        <w:widowControl/>
        <w:suppressLineNumbers w:val="0"/>
        <w:jc w:val="left"/>
        <w:rPr>
          <w:rFonts w:hint="eastAsia" w:ascii="黑体" w:hAnsi="黑体" w:eastAsia="黑体" w:cs="黑体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2"/>
          <w:sz w:val="32"/>
          <w:szCs w:val="32"/>
          <w:lang w:val="en-US" w:eastAsia="zh-CN" w:bidi="ar-SA"/>
        </w:rPr>
        <w:t>二、采购需求文件组成</w:t>
      </w:r>
    </w:p>
    <w:p w14:paraId="0323D53A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采购需求文件须包含但不限于以下内容（全部加盖公章、页码连续、装订成册）：</w:t>
      </w:r>
    </w:p>
    <w:p w14:paraId="04F297AA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1、响应函、企业负责人身份证明、授权委托书；</w:t>
      </w:r>
    </w:p>
    <w:p w14:paraId="5B35F104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2、营业执照、资质证明、场地证明、信用承诺书；</w:t>
      </w:r>
    </w:p>
    <w:p w14:paraId="424884D9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3、近三年同类研学服务业绩证明（合同、验收证明、活动照片等）；</w:t>
      </w:r>
    </w:p>
    <w:p w14:paraId="4C5B1AD9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4、项目整体实施方案、课程方案、行程方案、安全方案、应急预案；</w:t>
      </w:r>
    </w:p>
    <w:p w14:paraId="6CAFA340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5、人员配置清单（研学导师、安全员、工作人员）及资质、社保证明；</w:t>
      </w:r>
    </w:p>
    <w:p w14:paraId="2F19C651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6、报价明细表、总价报价单；</w:t>
      </w:r>
    </w:p>
    <w:p w14:paraId="4DC78FF7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7、服务承诺、售后保障、投诉处理、成果交付承诺；</w:t>
      </w:r>
    </w:p>
    <w:p w14:paraId="309C9F24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8、采购需求文件要求的其他佐证材料。</w:t>
      </w:r>
    </w:p>
    <w:p w14:paraId="0E3E04BA">
      <w:pPr>
        <w:spacing w:line="560" w:lineRule="exact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三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、承办单位资质要求</w:t>
      </w:r>
    </w:p>
    <w:p w14:paraId="17C569DA">
      <w:pPr>
        <w:spacing w:line="560" w:lineRule="exact"/>
        <w:ind w:firstLine="560" w:firstLineChars="200"/>
        <w:rPr>
          <w:rFonts w:hint="eastAsia" w:ascii="宋体" w:hAnsi="宋体" w:eastAsia="宋体" w:cs="宋体"/>
          <w:b w:val="0"/>
          <w:bCs w:val="0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1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在中华人民共和国境内注册并合法运作的独立法人机构，持有营业执照，具备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多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年学生研学活动组织经验；</w:t>
      </w:r>
    </w:p>
    <w:p w14:paraId="6321D24C">
      <w:pPr>
        <w:spacing w:line="560" w:lineRule="exact"/>
        <w:ind w:firstLine="560" w:firstLineChars="200"/>
        <w:rPr>
          <w:rFonts w:hint="eastAsia" w:ascii="宋体" w:hAnsi="宋体" w:eastAsia="宋体" w:cs="宋体"/>
          <w:b w:val="0"/>
          <w:bCs w:val="0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2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具备旅游主管部门颁发的旅行社业务经营许可证，且近3年无重大旅游安全责任事故及不良信用记录；无违法违规经营记录，未被列入失信被执行人名单及政府采购严重违法失信行为记录名单。</w:t>
      </w:r>
    </w:p>
    <w:p w14:paraId="1BDC97DC">
      <w:pPr>
        <w:spacing w:line="560" w:lineRule="exact"/>
        <w:ind w:firstLine="560" w:firstLineChars="200"/>
        <w:rPr>
          <w:rFonts w:hint="eastAsia" w:ascii="宋体" w:hAnsi="宋体" w:eastAsia="宋体" w:cs="宋体"/>
          <w:b w:val="0"/>
          <w:bCs w:val="0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3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具备良好的商业信誉和健全的财务会计制度，有依法缴纳税收和社会保障资金的良好记录；</w:t>
      </w:r>
    </w:p>
    <w:p w14:paraId="5BA98674">
      <w:pPr>
        <w:spacing w:line="560" w:lineRule="exact"/>
        <w:ind w:firstLine="560" w:firstLineChars="200"/>
        <w:rPr>
          <w:rFonts w:hint="eastAsia" w:ascii="宋体" w:hAnsi="宋体" w:eastAsia="宋体" w:cs="宋体"/>
          <w:b w:val="0"/>
          <w:bCs w:val="0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拥有专业的研学导师团队和后勤保障团队，能够根据学校要求和学生特点，设计出具有教育性、实践性、安全性的研学方案。</w:t>
      </w:r>
    </w:p>
    <w:p w14:paraId="542A3ADF">
      <w:pPr>
        <w:pStyle w:val="2"/>
        <w:tabs>
          <w:tab w:val="left" w:pos="851"/>
        </w:tabs>
        <w:spacing w:before="0" w:after="0"/>
        <w:ind w:left="147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</w:t>
      </w:r>
      <w:r>
        <w:rPr>
          <w:rFonts w:hint="eastAsia" w:ascii="黑体" w:hAnsi="黑体" w:eastAsia="黑体" w:cs="黑体"/>
          <w:sz w:val="32"/>
          <w:szCs w:val="32"/>
        </w:rPr>
        <w:t>、技术和服务要求</w:t>
      </w:r>
    </w:p>
    <w:p w14:paraId="4845DF67">
      <w:pPr>
        <w:pStyle w:val="15"/>
        <w:ind w:firstLine="64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申请单位提供</w:t>
      </w:r>
      <w:r>
        <w:rPr>
          <w:rFonts w:hint="eastAsia" w:ascii="宋体" w:hAnsi="宋体" w:eastAsia="宋体" w:cs="宋体"/>
          <w:sz w:val="28"/>
          <w:szCs w:val="28"/>
        </w:rPr>
        <w:t>行程安排计划，在活动前5天完成活动行程安排，经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成交</w:t>
      </w:r>
      <w:r>
        <w:rPr>
          <w:rFonts w:hint="eastAsia" w:ascii="宋体" w:hAnsi="宋体" w:eastAsia="宋体" w:cs="宋体"/>
          <w:sz w:val="28"/>
          <w:szCs w:val="28"/>
        </w:rPr>
        <w:t>确认后，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合作单位</w:t>
      </w:r>
      <w:r>
        <w:rPr>
          <w:rFonts w:hint="eastAsia" w:ascii="宋体" w:hAnsi="宋体" w:eastAsia="宋体" w:cs="宋体"/>
          <w:sz w:val="28"/>
          <w:szCs w:val="28"/>
        </w:rPr>
        <w:t>提供行程安排活动保障方案。</w:t>
      </w:r>
    </w:p>
    <w:p w14:paraId="0180DF8C">
      <w:pPr>
        <w:pStyle w:val="15"/>
        <w:ind w:firstLine="64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2、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合作单位</w:t>
      </w:r>
      <w:r>
        <w:rPr>
          <w:rFonts w:hint="eastAsia" w:ascii="宋体" w:hAnsi="宋体" w:eastAsia="宋体" w:cs="宋体"/>
          <w:sz w:val="28"/>
          <w:szCs w:val="28"/>
        </w:rPr>
        <w:t>应根据采购人入住酒店的需求，原则上安排采购人入住在同一家酒店（宾馆），在采购人的研学团队到达前1日内完成酒店住宿和饮食安排，经采购人确认后，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合作单位</w:t>
      </w:r>
      <w:r>
        <w:rPr>
          <w:rFonts w:hint="eastAsia" w:ascii="宋体" w:hAnsi="宋体" w:eastAsia="宋体" w:cs="宋体"/>
          <w:sz w:val="28"/>
          <w:szCs w:val="28"/>
        </w:rPr>
        <w:t>提供住宿和饮食服务。</w:t>
      </w:r>
    </w:p>
    <w:p w14:paraId="57B85C9A">
      <w:pPr>
        <w:pStyle w:val="15"/>
        <w:ind w:firstLine="64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3、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合作单位</w:t>
      </w:r>
      <w:r>
        <w:rPr>
          <w:rFonts w:hint="eastAsia" w:ascii="宋体" w:hAnsi="宋体" w:eastAsia="宋体" w:cs="宋体"/>
          <w:sz w:val="28"/>
          <w:szCs w:val="28"/>
        </w:rPr>
        <w:t>应根据采购人的用车需求，根据国家有关交通运输规定，及时、准确、安全地做好车辆租赁服务。</w:t>
      </w:r>
    </w:p>
    <w:p w14:paraId="71604FE7">
      <w:pPr>
        <w:pStyle w:val="15"/>
        <w:ind w:firstLine="64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4、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合作单位</w:t>
      </w:r>
      <w:r>
        <w:rPr>
          <w:rFonts w:hint="eastAsia" w:ascii="宋体" w:hAnsi="宋体" w:eastAsia="宋体" w:cs="宋体"/>
          <w:sz w:val="28"/>
          <w:szCs w:val="28"/>
        </w:rPr>
        <w:t>应保证按时接送人员并安全送到指定地点，并积极配合采购人做好出行的协助工作。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合作单位</w:t>
      </w:r>
      <w:r>
        <w:rPr>
          <w:rFonts w:hint="eastAsia" w:ascii="宋体" w:hAnsi="宋体" w:eastAsia="宋体" w:cs="宋体"/>
          <w:sz w:val="28"/>
          <w:szCs w:val="28"/>
        </w:rPr>
        <w:t>车辆如未能按约定时间到达约定地点的，造成采购人用车计划受影响，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合作单位</w:t>
      </w:r>
      <w:r>
        <w:rPr>
          <w:rFonts w:hint="eastAsia" w:ascii="宋体" w:hAnsi="宋体" w:eastAsia="宋体" w:cs="宋体"/>
          <w:sz w:val="28"/>
          <w:szCs w:val="28"/>
        </w:rPr>
        <w:t>应承担采购人改乘其他车辆所产生的交通费用。</w:t>
      </w:r>
    </w:p>
    <w:p w14:paraId="2965B4EC">
      <w:pPr>
        <w:pStyle w:val="16"/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color w:val="auto"/>
          <w:kern w:val="2"/>
          <w:sz w:val="28"/>
          <w:szCs w:val="28"/>
        </w:rPr>
      </w:pPr>
      <w:r>
        <w:rPr>
          <w:rFonts w:hint="eastAsia" w:ascii="宋体" w:hAnsi="宋体" w:eastAsia="宋体" w:cs="宋体"/>
          <w:color w:val="auto"/>
          <w:kern w:val="2"/>
          <w:sz w:val="28"/>
          <w:szCs w:val="28"/>
        </w:rPr>
        <w:t>5、</w:t>
      </w:r>
      <w:r>
        <w:rPr>
          <w:rFonts w:hint="eastAsia" w:ascii="宋体" w:hAnsi="宋体" w:eastAsia="宋体" w:cs="宋体"/>
          <w:color w:val="auto"/>
          <w:kern w:val="2"/>
          <w:sz w:val="28"/>
          <w:szCs w:val="28"/>
          <w:lang w:val="en-US" w:eastAsia="zh-CN"/>
        </w:rPr>
        <w:t>合作</w:t>
      </w:r>
      <w:r>
        <w:rPr>
          <w:rFonts w:hint="eastAsia" w:ascii="宋体" w:hAnsi="宋体" w:eastAsia="宋体" w:cs="宋体"/>
          <w:color w:val="auto"/>
          <w:kern w:val="2"/>
          <w:sz w:val="28"/>
          <w:szCs w:val="28"/>
        </w:rPr>
        <w:t>应根据采购人的活动需求，提供开闭营活动仪式服务。</w:t>
      </w:r>
    </w:p>
    <w:p w14:paraId="20E1CBF2">
      <w:pPr>
        <w:pStyle w:val="15"/>
        <w:ind w:firstLine="64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6、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合作单位</w:t>
      </w:r>
      <w:r>
        <w:rPr>
          <w:rFonts w:hint="eastAsia" w:ascii="宋体" w:hAnsi="宋体" w:eastAsia="宋体" w:cs="宋体"/>
          <w:sz w:val="28"/>
          <w:szCs w:val="28"/>
        </w:rPr>
        <w:t>应根据采购人的导游需求，提供地方导游、旅行社等服务。</w:t>
      </w:r>
    </w:p>
    <w:p w14:paraId="72077133">
      <w:pPr>
        <w:pStyle w:val="15"/>
        <w:ind w:firstLine="64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8、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合作单位</w:t>
      </w:r>
      <w:r>
        <w:rPr>
          <w:rFonts w:hint="eastAsia" w:ascii="宋体" w:hAnsi="宋体" w:eastAsia="宋体" w:cs="宋体"/>
          <w:sz w:val="28"/>
          <w:szCs w:val="28"/>
        </w:rPr>
        <w:t>应为采购人提供旅行社责任险及旅行意外险，保障采购人在活动过程的意外保险服务。</w:t>
      </w:r>
    </w:p>
    <w:p w14:paraId="0010AABB">
      <w:pPr>
        <w:pStyle w:val="16"/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color w:val="auto"/>
          <w:kern w:val="2"/>
          <w:sz w:val="28"/>
          <w:szCs w:val="28"/>
        </w:rPr>
      </w:pPr>
      <w:r>
        <w:rPr>
          <w:rFonts w:hint="eastAsia" w:ascii="宋体" w:hAnsi="宋体" w:eastAsia="宋体" w:cs="宋体"/>
          <w:color w:val="auto"/>
          <w:kern w:val="2"/>
          <w:sz w:val="28"/>
          <w:szCs w:val="28"/>
        </w:rPr>
        <w:t>9、</w:t>
      </w:r>
      <w:r>
        <w:rPr>
          <w:rFonts w:hint="eastAsia" w:ascii="宋体" w:hAnsi="宋体" w:eastAsia="宋体" w:cs="宋体"/>
          <w:color w:val="auto"/>
          <w:kern w:val="2"/>
          <w:sz w:val="28"/>
          <w:szCs w:val="28"/>
          <w:lang w:val="en-US" w:eastAsia="zh-CN"/>
        </w:rPr>
        <w:t>合作单位</w:t>
      </w:r>
      <w:r>
        <w:rPr>
          <w:rFonts w:hint="eastAsia" w:ascii="宋体" w:hAnsi="宋体" w:eastAsia="宋体" w:cs="宋体"/>
          <w:color w:val="auto"/>
          <w:kern w:val="2"/>
          <w:sz w:val="28"/>
          <w:szCs w:val="28"/>
        </w:rPr>
        <w:t>应根据采购人的活动需求，提供矿泉水、会议资料打印服务、会议现场保障等服务。</w:t>
      </w:r>
    </w:p>
    <w:p w14:paraId="416B8523">
      <w:pPr>
        <w:pStyle w:val="15"/>
        <w:ind w:firstLine="64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10、如遇活动途中发生不可抗力(如暴雨、地震、山体滑坡、塌方等)造成活动中断而需临时调整活动所产生的费用，由采购人按实际用车情况支付；行程被迫中止的，采购人按实际发生的情况支付费用。</w:t>
      </w:r>
    </w:p>
    <w:p w14:paraId="63C121C4">
      <w:pPr>
        <w:pStyle w:val="15"/>
        <w:ind w:firstLine="64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11、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合作单位</w:t>
      </w:r>
      <w:r>
        <w:rPr>
          <w:rFonts w:hint="eastAsia" w:ascii="宋体" w:hAnsi="宋体" w:eastAsia="宋体" w:cs="宋体"/>
          <w:sz w:val="28"/>
          <w:szCs w:val="28"/>
        </w:rPr>
        <w:t>的服务报价不能超过最高限价表。</w:t>
      </w:r>
    </w:p>
    <w:p w14:paraId="38307635">
      <w:pPr>
        <w:pStyle w:val="15"/>
        <w:ind w:left="0" w:leftChars="0" w:firstLine="0" w:firstLineChars="0"/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lang w:val="en-US" w:eastAsia="zh-CN" w:bidi="ar-SA"/>
        </w:rPr>
        <w:t>五、响应文件递交信息</w:t>
      </w:r>
    </w:p>
    <w:p w14:paraId="0EF88228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1、递交截止时间：2026年7月4日 —2026年7月7日</w:t>
      </w:r>
    </w:p>
    <w:p w14:paraId="54240F36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2、递交地点：福建师范大学旗山校区索莱达学院318室</w:t>
      </w:r>
    </w:p>
    <w:p w14:paraId="7BE92CAF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3、 逾期送达、未按规定密封、材料不全的投标文件，采购人有权拒收。</w:t>
      </w:r>
    </w:p>
    <w:p w14:paraId="4E43EC21">
      <w:pPr>
        <w:pStyle w:val="2"/>
        <w:keepNext w:val="0"/>
        <w:keepLines w:val="0"/>
        <w:widowControl/>
        <w:suppressLineNumbers w:val="0"/>
        <w:jc w:val="left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六、</w:t>
      </w:r>
      <w:r>
        <w:rPr>
          <w:rFonts w:hint="eastAsia" w:ascii="黑体" w:hAnsi="黑体" w:eastAsia="黑体" w:cs="黑体"/>
          <w:sz w:val="32"/>
          <w:szCs w:val="32"/>
        </w:rPr>
        <w:t xml:space="preserve"> 评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审</w:t>
      </w:r>
      <w:r>
        <w:rPr>
          <w:rFonts w:hint="eastAsia" w:ascii="黑体" w:hAnsi="黑体" w:eastAsia="黑体" w:cs="黑体"/>
          <w:sz w:val="32"/>
          <w:szCs w:val="32"/>
        </w:rPr>
        <w:t>办法（综合评分法）</w:t>
      </w:r>
    </w:p>
    <w:p w14:paraId="32C89608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本项目采用综合评分法，总分100分，得分最高者为第一选定合作单位候选人，依次排序确定中标候选人。</w:t>
      </w:r>
    </w:p>
    <w:p w14:paraId="1955EDE2">
      <w:pPr>
        <w:pStyle w:val="3"/>
        <w:keepNext w:val="0"/>
        <w:keepLines w:val="0"/>
        <w:widowControl/>
        <w:suppressLineNumbers w:val="0"/>
        <w:ind w:firstLine="562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sz w:val="28"/>
          <w:szCs w:val="28"/>
        </w:rPr>
        <w:t>、整体方案（30分）</w:t>
      </w:r>
    </w:p>
    <w:p w14:paraId="13F04556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（1）研学整体规划、行程安排、主题设计科学合理，贴合育人目标，流程完整闭环，熟悉高校研学服务得15–20分；</w:t>
      </w:r>
    </w:p>
    <w:p w14:paraId="10BBD6F5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（2）方案较为完整、思路清晰，基本满足需求，得8–14分；</w:t>
      </w:r>
    </w:p>
    <w:p w14:paraId="6246FFB0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（3）方案简单粗糙、逻辑混乱、针对性弱，得1–7分。</w:t>
      </w:r>
    </w:p>
    <w:p w14:paraId="26C92C1C">
      <w:pPr>
        <w:pStyle w:val="3"/>
        <w:keepNext w:val="0"/>
        <w:keepLines w:val="0"/>
        <w:widowControl/>
        <w:suppressLineNumbers w:val="0"/>
        <w:ind w:firstLine="562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</w:rPr>
        <w:t>、课程设计与教育性（2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0</w:t>
      </w:r>
      <w:r>
        <w:rPr>
          <w:rFonts w:hint="eastAsia" w:ascii="宋体" w:hAnsi="宋体" w:eastAsia="宋体" w:cs="宋体"/>
          <w:sz w:val="28"/>
          <w:szCs w:val="28"/>
        </w:rPr>
        <w:t>分）</w:t>
      </w:r>
    </w:p>
    <w:p w14:paraId="2F59DB2B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（1） 课程体系完善、主题鲜明、知行结合、任务明确、评价完整，适配学生学情，得18–20分；</w:t>
      </w:r>
    </w:p>
    <w:p w14:paraId="084F6DFF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（2）课程内容完整、具备基本教育功能，得10–15分；</w:t>
      </w:r>
    </w:p>
    <w:p w14:paraId="7B95DE14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（3）课程单薄、重观光轻教学，得1–7分。</w:t>
      </w:r>
    </w:p>
    <w:p w14:paraId="24C3F169">
      <w:pPr>
        <w:pStyle w:val="3"/>
        <w:keepNext w:val="0"/>
        <w:keepLines w:val="0"/>
        <w:widowControl/>
        <w:suppressLineNumbers w:val="0"/>
        <w:ind w:firstLine="562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</w:rPr>
        <w:t>、安全保障体系（30分）</w:t>
      </w:r>
    </w:p>
    <w:p w14:paraId="12E283C9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（1）安全制度、应急预案、人员配置、保险保障、交通食宿安全、应急联动机制完善，，得20–30分；</w:t>
      </w:r>
    </w:p>
    <w:p w14:paraId="6A5EDB32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（2）安全措施齐全、基本可控，得10–19分；</w:t>
      </w:r>
    </w:p>
    <w:p w14:paraId="5192B5D6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（3）安全方案不完善、存在明显漏洞，得1–9分。</w:t>
      </w:r>
    </w:p>
    <w:p w14:paraId="78D87258">
      <w:pPr>
        <w:pStyle w:val="3"/>
        <w:keepNext w:val="0"/>
        <w:keepLines w:val="0"/>
        <w:widowControl/>
        <w:suppressLineNumbers w:val="0"/>
        <w:ind w:firstLine="562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、企业业绩与团队实力（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sz w:val="28"/>
          <w:szCs w:val="28"/>
        </w:rPr>
        <w:t>分）</w:t>
      </w:r>
    </w:p>
    <w:p w14:paraId="247647D0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（1）近三年同类研学项目业绩丰富、口碑良好、团队专业度高，得1-3分；</w:t>
      </w:r>
    </w:p>
    <w:p w14:paraId="79464658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（2）具备一定项目经验，得1-3分；</w:t>
      </w:r>
    </w:p>
    <w:p w14:paraId="0080C697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（3）业绩较少、团队配置薄弱，得1分。</w:t>
      </w:r>
    </w:p>
    <w:p w14:paraId="265AEB21">
      <w:pPr>
        <w:pStyle w:val="3"/>
        <w:keepNext w:val="0"/>
        <w:keepLines w:val="0"/>
        <w:widowControl/>
        <w:suppressLineNumbers w:val="0"/>
        <w:ind w:firstLine="562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sz w:val="28"/>
          <w:szCs w:val="28"/>
        </w:rPr>
        <w:t>、报价合理性（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sz w:val="28"/>
          <w:szCs w:val="28"/>
        </w:rPr>
        <w:t>5分）</w:t>
      </w:r>
    </w:p>
    <w:p w14:paraId="57AE5F7C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报价合理、明细清晰、性价比高，无虚高、无恶意低价，根据报价规范性、合理性综合打分。</w:t>
      </w:r>
    </w:p>
    <w:p w14:paraId="1625EA9D">
      <w:pPr>
        <w:pStyle w:val="2"/>
        <w:keepNext w:val="0"/>
        <w:keepLines w:val="0"/>
        <w:widowControl/>
        <w:suppressLineNumbers w:val="0"/>
        <w:jc w:val="left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七、其他要求</w:t>
      </w:r>
    </w:p>
    <w:p w14:paraId="211E9832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default"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研学期间所产生的往返机票，住宿，伙食等综合定额费用根据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fldChar w:fldCharType="begin"/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instrText xml:space="preserve"> HYPERLINK "https://cwc.fjnu.edu.cn/29/b1/c15758a403889/page.htm" \o "关于修订印发《福建师范大学差旅费管理实施细则》的通知" \t "https://cwc.fjnu.edu.cn/xxzd/_blank" </w:instrTex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fldChar w:fldCharType="separate"/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《福建师范大学差旅费管理实施细则》进行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fldChar w:fldCharType="end"/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实报实销。</w:t>
      </w:r>
    </w:p>
    <w:p w14:paraId="22ECFBCF">
      <w:pPr>
        <w:pStyle w:val="15"/>
        <w:numPr>
          <w:ilvl w:val="0"/>
          <w:numId w:val="0"/>
        </w:numPr>
        <w:spacing w:line="360" w:lineRule="auto"/>
        <w:ind w:leftChars="0"/>
        <w:jc w:val="left"/>
        <w:rPr>
          <w:rFonts w:hint="eastAsia" w:ascii="宋体" w:hAnsi="宋体" w:eastAsia="宋体" w:cs="宋体"/>
          <w:sz w:val="28"/>
          <w:szCs w:val="28"/>
        </w:rPr>
      </w:pPr>
    </w:p>
    <w:p w14:paraId="1CCB7252">
      <w:pPr>
        <w:pStyle w:val="15"/>
        <w:numPr>
          <w:ilvl w:val="0"/>
          <w:numId w:val="0"/>
        </w:numPr>
        <w:spacing w:line="360" w:lineRule="auto"/>
        <w:ind w:leftChars="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S PGothic">
    <w:panose1 w:val="020B0600070205080204"/>
    <w:charset w:val="80"/>
    <w:family w:val="auto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865326401"/>
      <w:docPartObj>
        <w:docPartGallery w:val="autotext"/>
      </w:docPartObj>
    </w:sdtPr>
    <w:sdtContent>
      <w:sdt>
        <w:sdtPr>
          <w:id w:val="-1669238322"/>
          <w:docPartObj>
            <w:docPartGallery w:val="autotext"/>
          </w:docPartObj>
        </w:sdtPr>
        <w:sdtContent>
          <w:p w14:paraId="17B391B0">
            <w:pPr>
              <w:pStyle w:val="4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76C0BFD">
    <w:pPr>
      <w:pStyle w:val="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8C4173F"/>
    <w:multiLevelType w:val="multilevel"/>
    <w:tmpl w:val="28C4173F"/>
    <w:lvl w:ilvl="0" w:tentative="0">
      <w:start w:val="1"/>
      <w:numFmt w:val="decimal"/>
      <w:pStyle w:val="16"/>
      <w:lvlText w:val="%1."/>
      <w:lvlJc w:val="left"/>
      <w:pPr>
        <w:ind w:left="420" w:hanging="420"/>
      </w:pPr>
      <w:rPr>
        <w:rFonts w:eastAsia="仿宋"/>
        <w:b w:val="0"/>
        <w:i w:val="0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FF1719A"/>
    <w:multiLevelType w:val="singleLevel"/>
    <w:tmpl w:val="2FF1719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C18"/>
    <w:rsid w:val="000648BF"/>
    <w:rsid w:val="00190DC2"/>
    <w:rsid w:val="002240BD"/>
    <w:rsid w:val="00227F3E"/>
    <w:rsid w:val="00233AAC"/>
    <w:rsid w:val="002375FB"/>
    <w:rsid w:val="00253505"/>
    <w:rsid w:val="002C0B09"/>
    <w:rsid w:val="00421B58"/>
    <w:rsid w:val="00491BBB"/>
    <w:rsid w:val="00565F81"/>
    <w:rsid w:val="005B666E"/>
    <w:rsid w:val="005C64A3"/>
    <w:rsid w:val="005C6A35"/>
    <w:rsid w:val="005F633B"/>
    <w:rsid w:val="00611981"/>
    <w:rsid w:val="006C5DA9"/>
    <w:rsid w:val="007B27D8"/>
    <w:rsid w:val="0082348F"/>
    <w:rsid w:val="00864A6E"/>
    <w:rsid w:val="00881B32"/>
    <w:rsid w:val="008D1C67"/>
    <w:rsid w:val="00942C18"/>
    <w:rsid w:val="0096257E"/>
    <w:rsid w:val="00985203"/>
    <w:rsid w:val="009C2261"/>
    <w:rsid w:val="00A2787F"/>
    <w:rsid w:val="00B66D04"/>
    <w:rsid w:val="00B74A54"/>
    <w:rsid w:val="00BC033D"/>
    <w:rsid w:val="00BF0A6C"/>
    <w:rsid w:val="00C455E4"/>
    <w:rsid w:val="00C90581"/>
    <w:rsid w:val="00C962CE"/>
    <w:rsid w:val="00CD1679"/>
    <w:rsid w:val="00D30B34"/>
    <w:rsid w:val="00D61B90"/>
    <w:rsid w:val="00DD2DE2"/>
    <w:rsid w:val="00E07FC3"/>
    <w:rsid w:val="00E66331"/>
    <w:rsid w:val="00E769B2"/>
    <w:rsid w:val="00FA1B9C"/>
    <w:rsid w:val="00FB02AA"/>
    <w:rsid w:val="0EF16F8A"/>
    <w:rsid w:val="138C455B"/>
    <w:rsid w:val="1D6E17A5"/>
    <w:rsid w:val="22613E00"/>
    <w:rsid w:val="2C6245E4"/>
    <w:rsid w:val="2CB2345D"/>
    <w:rsid w:val="2EF654CF"/>
    <w:rsid w:val="2F8E4A7E"/>
    <w:rsid w:val="39DA22B8"/>
    <w:rsid w:val="3F860FB2"/>
    <w:rsid w:val="4B166CFC"/>
    <w:rsid w:val="59C61273"/>
    <w:rsid w:val="5C1271C4"/>
    <w:rsid w:val="5C4B7010"/>
    <w:rsid w:val="5DB9023F"/>
    <w:rsid w:val="5EC26611"/>
    <w:rsid w:val="755723C0"/>
    <w:rsid w:val="78A0407E"/>
    <w:rsid w:val="7FAE0608"/>
    <w:rsid w:val="7FD6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4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8">
    <w:name w:val="Table Grid"/>
    <w:basedOn w:val="7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Strong"/>
    <w:basedOn w:val="9"/>
    <w:qFormat/>
    <w:uiPriority w:val="0"/>
    <w:rPr>
      <w:b/>
      <w:bCs/>
    </w:rPr>
  </w:style>
  <w:style w:type="character" w:customStyle="1" w:styleId="11">
    <w:name w:val="页眉 Char"/>
    <w:basedOn w:val="9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4"/>
    <w:qFormat/>
    <w:uiPriority w:val="99"/>
    <w:rPr>
      <w:sz w:val="18"/>
      <w:szCs w:val="18"/>
    </w:rPr>
  </w:style>
  <w:style w:type="character" w:customStyle="1" w:styleId="13">
    <w:name w:val="标题 1 Char"/>
    <w:basedOn w:val="9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4">
    <w:name w:val="标题 2 Char"/>
    <w:basedOn w:val="9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15">
    <w:name w:val="List Paragraph"/>
    <w:basedOn w:val="1"/>
    <w:qFormat/>
    <w:uiPriority w:val="34"/>
    <w:pPr>
      <w:ind w:firstLine="420" w:firstLineChars="200"/>
    </w:pPr>
  </w:style>
  <w:style w:type="paragraph" w:customStyle="1" w:styleId="16">
    <w:name w:val="null3"/>
    <w:autoRedefine/>
    <w:qFormat/>
    <w:uiPriority w:val="0"/>
    <w:pPr>
      <w:numPr>
        <w:ilvl w:val="0"/>
        <w:numId w:val="1"/>
      </w:numPr>
      <w:spacing w:line="360" w:lineRule="auto"/>
      <w:jc w:val="both"/>
    </w:pPr>
    <w:rPr>
      <w:rFonts w:ascii="仿宋" w:hAnsi="仿宋" w:eastAsia="仿宋" w:cstheme="minorBidi"/>
      <w:color w:val="FF0000"/>
      <w:sz w:val="32"/>
      <w:szCs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6</Pages>
  <Words>2124</Words>
  <Characters>2181</Characters>
  <Lines>7</Lines>
  <Paragraphs>2</Paragraphs>
  <TotalTime>1</TotalTime>
  <ScaleCrop>false</ScaleCrop>
  <LinksUpToDate>false</LinksUpToDate>
  <CharactersWithSpaces>2200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2026-06-29T08:00:00Z</dcterms:created>
  <dc:creator>MasterLong</dc:creator>
  <cp:lastModifiedBy>琴</cp:lastModifiedBy>
  <cp:lastPrinted>2026-06-28T16:13:00Z</cp:lastPrinted>
  <dcterms:modified xsi:type="dcterms:W3CDTF">2026-07-04T00:33:34Z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eyJoZGlkIjoiYzRmNDhmYzkxYjM3YWJjNTY3NGE5YTc2OTcxMTA3NzQiLCJ1c2VySWQiOiI5NjU3Mzc5MzIifQ==</vt:lpwstr>
  </property>
  <property fmtid="{D5CDD505-2E9C-101B-9397-08002B2CF9AE}" pid="3" name="KSOProductBuildVer">
    <vt:lpwstr>2052-12.1.0.26895</vt:lpwstr>
  </property>
  <property fmtid="{D5CDD505-2E9C-101B-9397-08002B2CF9AE}" pid="4" name="ICV">
    <vt:lpwstr>3808E12FEF74464EBFEFAEEC0B924A7E_13</vt:lpwstr>
  </property>
</Properties>
</file>