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4EE000">
      <w:pPr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</w:pPr>
      <w:bookmarkStart w:id="23" w:name="_GoBack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2025年“田家炳杯”研究生</w:t>
      </w:r>
      <w:r>
        <w:rPr>
          <w:rFonts w:hint="eastAsia" w:ascii="宋体" w:hAnsi="宋体" w:cs="宋体"/>
          <w:b/>
          <w:bCs/>
          <w:color w:val="auto"/>
          <w:sz w:val="32"/>
          <w:szCs w:val="32"/>
          <w:lang w:val="en-US" w:eastAsia="zh-CN"/>
        </w:rPr>
        <w:t>思政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教学技能大赛</w:t>
      </w:r>
    </w:p>
    <w:p w14:paraId="26669161">
      <w:pPr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初赛参赛教学视频拍摄服务</w:t>
      </w:r>
      <w:bookmarkEnd w:id="23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采购</w:t>
      </w:r>
    </w:p>
    <w:p w14:paraId="164C101B">
      <w:pPr>
        <w:tabs>
          <w:tab w:val="left" w:pos="720"/>
          <w:tab w:val="left" w:pos="8295"/>
        </w:tabs>
        <w:spacing w:before="240" w:line="480" w:lineRule="auto"/>
        <w:rPr>
          <w:rFonts w:ascii="宋体" w:hAnsi="宋体"/>
        </w:rPr>
      </w:pPr>
      <w:bookmarkStart w:id="0" w:name="_Toc291592289"/>
      <w:r>
        <w:rPr>
          <w:rFonts w:hint="eastAsia" w:ascii="宋体" w:hAnsi="宋体"/>
        </w:rPr>
        <w:t xml:space="preserve">   </w:t>
      </w:r>
      <w:r>
        <w:rPr>
          <w:rFonts w:hint="eastAsia" w:ascii="宋体" w:hAnsi="宋体"/>
          <w:sz w:val="28"/>
          <w:szCs w:val="28"/>
        </w:rPr>
        <w:t xml:space="preserve"> </w:t>
      </w:r>
      <w:r>
        <w:rPr>
          <w:rFonts w:hint="eastAsia" w:ascii="宋体" w:hAnsi="宋体"/>
        </w:rPr>
        <w:t>项目名称：</w:t>
      </w:r>
      <w:bookmarkEnd w:id="0"/>
      <w:bookmarkStart w:id="1" w:name="_Toc291592290"/>
      <w:r>
        <w:rPr>
          <w:rFonts w:hint="eastAsia" w:ascii="宋体" w:hAnsi="宋体"/>
        </w:rPr>
        <w:t>2025年“田家炳杯”研究生思政教学技能大赛初赛参赛教学视频拍摄服务</w:t>
      </w:r>
    </w:p>
    <w:p w14:paraId="7F129713">
      <w:pPr>
        <w:tabs>
          <w:tab w:val="left" w:pos="720"/>
          <w:tab w:val="left" w:pos="8295"/>
        </w:tabs>
        <w:spacing w:line="480" w:lineRule="auto"/>
        <w:rPr>
          <w:rFonts w:ascii="宋体" w:hAnsi="宋体"/>
        </w:rPr>
      </w:pPr>
      <w:r>
        <w:rPr>
          <w:rFonts w:hint="eastAsia" w:ascii="宋体" w:hAnsi="宋体"/>
        </w:rPr>
        <w:t xml:space="preserve">   </w:t>
      </w:r>
      <w:r>
        <w:rPr>
          <w:rFonts w:ascii="宋体" w:hAnsi="宋体"/>
        </w:rPr>
        <w:t xml:space="preserve"> </w:t>
      </w:r>
      <w:r>
        <w:rPr>
          <w:rFonts w:hint="eastAsia" w:ascii="宋体" w:hAnsi="宋体"/>
        </w:rPr>
        <w:t>采购单位：</w:t>
      </w:r>
      <w:bookmarkEnd w:id="1"/>
      <w:r>
        <w:rPr>
          <w:rFonts w:hint="eastAsia" w:ascii="宋体" w:hAnsi="宋体"/>
        </w:rPr>
        <w:t>福建师范大学马克思主义学院</w:t>
      </w:r>
    </w:p>
    <w:p w14:paraId="5BAF39EB">
      <w:pPr>
        <w:spacing w:line="480" w:lineRule="auto"/>
        <w:ind w:firstLine="432"/>
        <w:jc w:val="left"/>
        <w:rPr>
          <w:rFonts w:ascii="宋体" w:hAnsi="宋体"/>
        </w:rPr>
      </w:pPr>
      <w:bookmarkStart w:id="2" w:name="_Toc325153498"/>
      <w:bookmarkStart w:id="3" w:name="_Toc325161815"/>
      <w:bookmarkStart w:id="4" w:name="_Toc325319887"/>
      <w:bookmarkStart w:id="5" w:name="_Toc325321019"/>
      <w:bookmarkStart w:id="6" w:name="_Toc325329759"/>
      <w:bookmarkStart w:id="7" w:name="_Toc325200046"/>
      <w:bookmarkStart w:id="8" w:name="_Toc325386097"/>
      <w:bookmarkStart w:id="9" w:name="_Toc325394450"/>
      <w:bookmarkStart w:id="10" w:name="_Toc291592294"/>
      <w:r>
        <w:rPr>
          <w:rFonts w:ascii="宋体" w:hAnsi="宋体"/>
        </w:rPr>
        <w:t>本项目</w:t>
      </w:r>
      <w:r>
        <w:rPr>
          <w:rFonts w:hint="eastAsia" w:ascii="宋体" w:hAnsi="宋体"/>
        </w:rPr>
        <w:t>采购预算金额</w:t>
      </w:r>
      <w:r>
        <w:rPr>
          <w:rFonts w:ascii="宋体" w:hAnsi="宋体"/>
        </w:rPr>
        <w:t>为￥</w:t>
      </w:r>
      <w:r>
        <w:rPr>
          <w:rFonts w:hint="eastAsia" w:ascii="宋体" w:hAnsi="宋体"/>
          <w:lang w:val="en-US" w:eastAsia="zh-CN"/>
        </w:rPr>
        <w:t>225</w:t>
      </w:r>
      <w:r>
        <w:rPr>
          <w:rFonts w:hint="eastAsia" w:ascii="宋体" w:hAnsi="宋体"/>
        </w:rPr>
        <w:t>00</w:t>
      </w:r>
      <w:r>
        <w:rPr>
          <w:rFonts w:ascii="宋体" w:hAnsi="宋体"/>
        </w:rPr>
        <w:t>元整（人民币大写</w:t>
      </w:r>
      <w:r>
        <w:rPr>
          <w:rFonts w:hint="eastAsia" w:ascii="宋体" w:hAnsi="宋体"/>
          <w:lang w:val="en-US" w:eastAsia="zh-CN"/>
        </w:rPr>
        <w:t>贰</w:t>
      </w:r>
      <w:r>
        <w:rPr>
          <w:rFonts w:ascii="宋体" w:hAnsi="宋体"/>
        </w:rPr>
        <w:t>万</w:t>
      </w:r>
      <w:r>
        <w:rPr>
          <w:rFonts w:hint="eastAsia" w:ascii="宋体" w:hAnsi="宋体"/>
          <w:lang w:val="en-US" w:eastAsia="zh-CN"/>
        </w:rPr>
        <w:t>贰</w:t>
      </w:r>
      <w:r>
        <w:rPr>
          <w:rFonts w:ascii="宋体" w:hAnsi="宋体"/>
        </w:rPr>
        <w:t>仟</w:t>
      </w:r>
      <w:r>
        <w:rPr>
          <w:rFonts w:hint="eastAsia" w:ascii="宋体" w:hAnsi="宋体"/>
          <w:lang w:val="en-US" w:eastAsia="zh-CN"/>
        </w:rPr>
        <w:t>伍佰</w:t>
      </w:r>
      <w:r>
        <w:rPr>
          <w:rFonts w:ascii="宋体" w:hAnsi="宋体"/>
        </w:rPr>
        <w:t>元整）</w:t>
      </w:r>
      <w:r>
        <w:rPr>
          <w:rFonts w:hint="eastAsia" w:ascii="宋体" w:hAnsi="宋体"/>
        </w:rPr>
        <w:t>，报价不得超出预算金额，本次采购项目采用综合评分。</w:t>
      </w:r>
    </w:p>
    <w:p w14:paraId="17D94BE5">
      <w:pPr>
        <w:spacing w:line="480" w:lineRule="auto"/>
        <w:ind w:firstLine="432"/>
        <w:jc w:val="left"/>
        <w:rPr>
          <w:rFonts w:ascii="宋体" w:hAnsi="宋体"/>
        </w:rPr>
      </w:pPr>
      <w:r>
        <w:rPr>
          <w:rFonts w:hint="eastAsia" w:ascii="宋体" w:hAnsi="宋体"/>
        </w:rPr>
        <w:t>项目报价材料包括“资格及资信证明部分”“报价部分”和“技术商务部分”。</w:t>
      </w:r>
    </w:p>
    <w:p w14:paraId="2B2DCEAC">
      <w:pPr>
        <w:spacing w:line="480" w:lineRule="auto"/>
        <w:ind w:firstLine="432"/>
        <w:jc w:val="left"/>
        <w:rPr>
          <w:rFonts w:ascii="宋体" w:hAnsi="宋体"/>
        </w:rPr>
      </w:pPr>
      <w:r>
        <w:rPr>
          <w:rFonts w:hint="eastAsia" w:ascii="宋体" w:hAnsi="宋体"/>
        </w:rPr>
        <w:t>资格及资信证明部分材料：1</w:t>
      </w:r>
      <w:r>
        <w:rPr>
          <w:rFonts w:ascii="宋体" w:hAnsi="宋体"/>
        </w:rPr>
        <w:t>.</w:t>
      </w:r>
      <w:r>
        <w:rPr>
          <w:rFonts w:hint="eastAsia"/>
        </w:rPr>
        <w:t xml:space="preserve"> </w:t>
      </w:r>
      <w:r>
        <w:rPr>
          <w:rFonts w:hint="eastAsia" w:ascii="宋体" w:hAnsi="宋体"/>
        </w:rPr>
        <w:t>营业执照复印件。2</w:t>
      </w:r>
      <w:r>
        <w:rPr>
          <w:rFonts w:hint="eastAsia" w:ascii="宋体" w:hAnsi="宋体"/>
          <w:lang w:val="en-US" w:eastAsia="zh-CN"/>
        </w:rPr>
        <w:t>.</w:t>
      </w:r>
      <w:r>
        <w:rPr>
          <w:rFonts w:hint="eastAsia" w:ascii="宋体" w:hAnsi="宋体"/>
        </w:rPr>
        <w:t>法定代表人的身份证复印件或授权书原件。3</w:t>
      </w:r>
      <w:r>
        <w:rPr>
          <w:rFonts w:ascii="宋体" w:hAnsi="宋体"/>
        </w:rPr>
        <w:t>.</w:t>
      </w:r>
      <w:r>
        <w:rPr>
          <w:rFonts w:hint="eastAsia"/>
        </w:rPr>
        <w:t xml:space="preserve"> </w:t>
      </w:r>
      <w:r>
        <w:rPr>
          <w:rFonts w:hint="eastAsia" w:ascii="宋体" w:hAnsi="宋体"/>
        </w:rPr>
        <w:t>报价代表人的身份证复印件、报价人联系电话。4</w:t>
      </w:r>
      <w:r>
        <w:rPr>
          <w:rFonts w:ascii="宋体" w:hAnsi="宋体"/>
        </w:rPr>
        <w:t>.</w:t>
      </w:r>
      <w:r>
        <w:rPr>
          <w:rFonts w:hint="eastAsia"/>
        </w:rPr>
        <w:t xml:space="preserve"> </w:t>
      </w:r>
      <w:r>
        <w:rPr>
          <w:rFonts w:hint="eastAsia" w:ascii="宋体" w:hAnsi="宋体"/>
        </w:rPr>
        <w:t>依法缴纳税收证明材料。以上材料均需加盖公章。</w:t>
      </w:r>
    </w:p>
    <w:p w14:paraId="3037E8F5">
      <w:pPr>
        <w:spacing w:line="480" w:lineRule="auto"/>
        <w:ind w:firstLine="432"/>
        <w:jc w:val="left"/>
        <w:rPr>
          <w:rFonts w:ascii="宋体" w:hAnsi="宋体"/>
        </w:rPr>
      </w:pPr>
      <w:r>
        <w:rPr>
          <w:rFonts w:hint="eastAsia" w:ascii="宋体" w:hAnsi="宋体"/>
        </w:rPr>
        <w:t>报价材料须用A4幅面纸张打印装订，须用胶装（为永久性、无破坏不可拆分）装订成册，封面加盖公章及骑缝章。在采购公告期内送至福建师范大学旗山校区人文楼文 2 号楼 403。未在采购公告期内</w:t>
      </w:r>
      <w:r>
        <w:rPr>
          <w:rFonts w:hint="eastAsia" w:ascii="宋体" w:hAnsi="宋体"/>
          <w:lang w:val="en-US" w:eastAsia="zh-CN"/>
        </w:rPr>
        <w:t>送达视为未参与本次采购</w:t>
      </w:r>
      <w:r>
        <w:rPr>
          <w:rFonts w:hint="eastAsia" w:ascii="宋体" w:hAnsi="宋体"/>
        </w:rPr>
        <w:t>。联系人：</w:t>
      </w:r>
      <w:r>
        <w:rPr>
          <w:rFonts w:hint="eastAsia" w:ascii="宋体" w:hAnsi="宋体"/>
          <w:lang w:val="en-US" w:eastAsia="zh-CN"/>
        </w:rPr>
        <w:t>张</w:t>
      </w:r>
      <w:r>
        <w:rPr>
          <w:rFonts w:hint="eastAsia" w:ascii="宋体" w:hAnsi="宋体"/>
        </w:rPr>
        <w:t>老师；联系电话：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22863731</w:t>
      </w:r>
      <w:r>
        <w:rPr>
          <w:rFonts w:hint="eastAsia" w:ascii="宋体" w:hAnsi="宋体"/>
        </w:rPr>
        <w:t>。</w:t>
      </w:r>
    </w:p>
    <w:bookmarkEnd w:id="2"/>
    <w:bookmarkEnd w:id="3"/>
    <w:bookmarkEnd w:id="4"/>
    <w:bookmarkEnd w:id="5"/>
    <w:bookmarkEnd w:id="6"/>
    <w:bookmarkEnd w:id="7"/>
    <w:bookmarkEnd w:id="8"/>
    <w:bookmarkEnd w:id="9"/>
    <w:p w14:paraId="2E01C66A">
      <w:pPr>
        <w:pStyle w:val="2"/>
        <w:numPr>
          <w:ilvl w:val="0"/>
          <w:numId w:val="1"/>
        </w:numPr>
        <w:spacing w:before="156" w:beforeLines="50" w:after="0" w:line="360" w:lineRule="auto"/>
        <w:rPr>
          <w:rFonts w:hint="eastAsia" w:ascii="宋体" w:hAnsi="宋体" w:eastAsia="宋体" w:cs="Times New Roman"/>
          <w:color w:val="auto"/>
          <w:sz w:val="21"/>
          <w:szCs w:val="24"/>
          <w:lang w:val="en-US" w:eastAsia="zh-CN"/>
          <w14:ligatures w14:val="none"/>
        </w:rPr>
      </w:pPr>
      <w:bookmarkStart w:id="11" w:name="_Toc325153499"/>
      <w:bookmarkStart w:id="12" w:name="_Toc325394451"/>
      <w:bookmarkStart w:id="13" w:name="_Toc325321020"/>
      <w:bookmarkStart w:id="14" w:name="_Toc325329760"/>
      <w:bookmarkStart w:id="15" w:name="_Toc325200047"/>
      <w:bookmarkStart w:id="16" w:name="_Toc325319888"/>
      <w:bookmarkStart w:id="17" w:name="_Toc325386098"/>
      <w:bookmarkStart w:id="18" w:name="_Toc325161816"/>
      <w:r>
        <w:rPr>
          <w:rFonts w:hint="eastAsia" w:ascii="宋体" w:hAnsi="宋体" w:eastAsia="宋体" w:cs="Times New Roman"/>
          <w:color w:val="auto"/>
          <w:sz w:val="21"/>
          <w:szCs w:val="24"/>
          <w:lang w:val="en-US" w:eastAsia="zh-CN"/>
          <w14:ligatures w14:val="none"/>
        </w:rPr>
        <w:t>采购内容</w:t>
      </w:r>
    </w:p>
    <w:tbl>
      <w:tblPr>
        <w:tblStyle w:val="2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763"/>
        <w:gridCol w:w="613"/>
        <w:gridCol w:w="833"/>
        <w:gridCol w:w="1644"/>
        <w:gridCol w:w="1350"/>
        <w:gridCol w:w="1820"/>
      </w:tblGrid>
      <w:tr w14:paraId="590B2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7" w:type="pct"/>
            <w:shd w:val="clear" w:color="auto" w:fill="auto"/>
            <w:noWrap/>
            <w:vAlign w:val="center"/>
          </w:tcPr>
          <w:p w14:paraId="42864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序号</w:t>
            </w:r>
          </w:p>
        </w:tc>
        <w:tc>
          <w:tcPr>
            <w:tcW w:w="1443" w:type="pct"/>
            <w:shd w:val="clear" w:color="auto" w:fill="auto"/>
            <w:noWrap/>
            <w:vAlign w:val="center"/>
          </w:tcPr>
          <w:p w14:paraId="00B3D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子项目名称</w:t>
            </w:r>
          </w:p>
        </w:tc>
        <w:tc>
          <w:tcPr>
            <w:tcW w:w="320" w:type="pct"/>
            <w:shd w:val="clear" w:color="auto" w:fill="auto"/>
            <w:noWrap/>
            <w:vAlign w:val="center"/>
          </w:tcPr>
          <w:p w14:paraId="07B9E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02590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14:paraId="4E6E6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705" w:type="pct"/>
            <w:shd w:val="clear" w:color="auto" w:fill="auto"/>
            <w:noWrap/>
            <w:vAlign w:val="center"/>
          </w:tcPr>
          <w:p w14:paraId="1D6F7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总价（元）</w:t>
            </w:r>
          </w:p>
        </w:tc>
        <w:tc>
          <w:tcPr>
            <w:tcW w:w="950" w:type="pct"/>
            <w:shd w:val="clear" w:color="auto" w:fill="auto"/>
            <w:noWrap/>
            <w:vAlign w:val="center"/>
          </w:tcPr>
          <w:p w14:paraId="368FB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  注</w:t>
            </w:r>
          </w:p>
        </w:tc>
      </w:tr>
      <w:tr w14:paraId="31060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2" w:hRule="atLeast"/>
        </w:trPr>
        <w:tc>
          <w:tcPr>
            <w:tcW w:w="287" w:type="pct"/>
            <w:shd w:val="clear" w:color="auto" w:fill="auto"/>
            <w:noWrap/>
            <w:vAlign w:val="center"/>
          </w:tcPr>
          <w:p w14:paraId="3C9A9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 Light" w:hAnsi="微软雅黑 Light" w:eastAsia="微软雅黑 Light" w:cs="微软雅黑 Light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 Light" w:hAnsi="微软雅黑 Light" w:eastAsia="微软雅黑 Light" w:cs="微软雅黑 Light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1</w:t>
            </w:r>
          </w:p>
        </w:tc>
        <w:tc>
          <w:tcPr>
            <w:tcW w:w="1443" w:type="pct"/>
            <w:shd w:val="clear" w:color="auto" w:fill="auto"/>
            <w:noWrap/>
            <w:vAlign w:val="center"/>
          </w:tcPr>
          <w:p w14:paraId="7E138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 Light" w:hAnsi="微软雅黑 Light" w:eastAsia="仿宋_GB2312" w:cs="微软雅黑 Light"/>
                <w:b/>
                <w:bCs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/>
                <w:shd w:val="clear" w:color="auto" w:fill="FFFFFF"/>
              </w:rPr>
              <w:t>2025年“田家炳杯”研究生思政教学技能</w:t>
            </w:r>
            <w:r>
              <w:rPr>
                <w:rFonts w:hint="eastAsia" w:ascii="仿宋_GB2312" w:hAnsi="仿宋_GB2312" w:eastAsia="仿宋_GB2312"/>
                <w:shd w:val="clear" w:color="auto" w:fill="FFFFFF"/>
              </w:rPr>
              <w:t>大赛</w:t>
            </w:r>
            <w:r>
              <w:rPr>
                <w:rFonts w:hint="eastAsia" w:ascii="仿宋_GB2312" w:hAnsi="仿宋_GB2312" w:eastAsia="仿宋_GB2312"/>
                <w:shd w:val="clear" w:color="auto" w:fill="FFFFFF"/>
                <w:lang w:eastAsia="zh-CN"/>
              </w:rPr>
              <w:t>参赛</w:t>
            </w:r>
            <w:r>
              <w:rPr>
                <w:rFonts w:hint="eastAsia" w:ascii="仿宋_GB2312" w:hAnsi="仿宋_GB2312" w:eastAsia="仿宋_GB2312"/>
                <w:shd w:val="clear" w:color="auto" w:fill="FFFFFF"/>
              </w:rPr>
              <w:t>作品视频拍摄制作服</w:t>
            </w:r>
            <w:r>
              <w:rPr>
                <w:rFonts w:hint="eastAsia" w:ascii="仿宋_GB2312" w:hAnsi="仿宋_GB2312" w:eastAsia="仿宋_GB2312"/>
                <w:shd w:val="clear" w:color="auto" w:fill="FFFFFF"/>
                <w:lang w:val="en-US" w:eastAsia="zh-CN"/>
              </w:rPr>
              <w:t>务</w:t>
            </w:r>
          </w:p>
        </w:tc>
        <w:tc>
          <w:tcPr>
            <w:tcW w:w="320" w:type="pct"/>
            <w:shd w:val="clear" w:color="auto" w:fill="auto"/>
            <w:noWrap/>
            <w:vAlign w:val="center"/>
          </w:tcPr>
          <w:p w14:paraId="4939B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个</w:t>
            </w:r>
          </w:p>
        </w:tc>
        <w:tc>
          <w:tcPr>
            <w:tcW w:w="435" w:type="pct"/>
            <w:shd w:val="clear" w:color="auto" w:fill="auto"/>
            <w:noWrap/>
            <w:vAlign w:val="center"/>
          </w:tcPr>
          <w:p w14:paraId="7327D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858" w:type="pct"/>
            <w:shd w:val="clear" w:color="auto" w:fill="auto"/>
            <w:noWrap/>
            <w:vAlign w:val="center"/>
          </w:tcPr>
          <w:p w14:paraId="4C32C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￥4500.00</w:t>
            </w:r>
          </w:p>
        </w:tc>
        <w:tc>
          <w:tcPr>
            <w:tcW w:w="705" w:type="pct"/>
            <w:shd w:val="clear" w:color="auto" w:fill="auto"/>
            <w:noWrap/>
            <w:vAlign w:val="center"/>
          </w:tcPr>
          <w:p w14:paraId="0F212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￥</w:t>
            </w:r>
            <w:r>
              <w:rPr>
                <w:rFonts w:hint="eastAsia" w:ascii="微软雅黑 Light" w:hAnsi="微软雅黑 Light" w:eastAsia="微软雅黑 Light" w:cs="微软雅黑 Light"/>
                <w:color w:val="000000"/>
                <w:kern w:val="0"/>
                <w:sz w:val="18"/>
                <w:szCs w:val="18"/>
                <w:u w:val="none"/>
                <w:lang w:bidi="ar"/>
              </w:rPr>
              <w:t>22500.00</w:t>
            </w:r>
          </w:p>
        </w:tc>
        <w:tc>
          <w:tcPr>
            <w:tcW w:w="950" w:type="pct"/>
            <w:shd w:val="clear" w:color="auto" w:fill="auto"/>
            <w:noWrap/>
            <w:vAlign w:val="center"/>
          </w:tcPr>
          <w:p w14:paraId="5F2CF8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仿宋_GB2312" w:eastAsia="仿宋_GB2312" w:cs="微软雅黑 Light"/>
                <w:color w:val="000000"/>
                <w:sz w:val="18"/>
                <w:szCs w:val="18"/>
              </w:rPr>
              <w:t>1.微</w:t>
            </w:r>
            <w:r>
              <w:rPr>
                <w:rFonts w:hint="eastAsia" w:ascii="仿宋_GB2312" w:hAnsi="仿宋_GB2312" w:eastAsia="仿宋_GB2312" w:cs="微软雅黑 Light"/>
                <w:color w:val="000000"/>
                <w:sz w:val="18"/>
                <w:szCs w:val="18"/>
                <w:lang w:val="en-US" w:eastAsia="zh-CN"/>
              </w:rPr>
              <w:t>视频</w:t>
            </w:r>
            <w:r>
              <w:rPr>
                <w:rFonts w:hint="eastAsia" w:ascii="仿宋_GB2312" w:hAnsi="仿宋_GB2312" w:eastAsia="仿宋_GB2312" w:cs="微软雅黑 Light"/>
                <w:color w:val="000000"/>
                <w:sz w:val="18"/>
                <w:szCs w:val="18"/>
              </w:rPr>
              <w:t>棚拍；</w:t>
            </w:r>
            <w:r>
              <w:rPr>
                <w:rFonts w:hint="eastAsia" w:ascii="仿宋_GB2312" w:hAnsi="仿宋_GB2312" w:eastAsia="仿宋_GB2312" w:cs="微软雅黑 Light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仿宋_GB2312" w:eastAsia="仿宋_GB2312" w:cs="微软雅黑 Light"/>
                <w:color w:val="000000"/>
                <w:sz w:val="18"/>
                <w:szCs w:val="18"/>
              </w:rPr>
              <w:t>2.素材收集与分镜脚本设计制作，教学展PPT设计美化；</w:t>
            </w:r>
            <w:r>
              <w:rPr>
                <w:rFonts w:hint="eastAsia" w:ascii="仿宋_GB2312" w:hAnsi="仿宋_GB2312" w:eastAsia="仿宋_GB2312" w:cs="微软雅黑 Light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仿宋_GB2312" w:eastAsia="仿宋_GB2312" w:cs="微软雅黑 Light"/>
                <w:color w:val="000000"/>
                <w:sz w:val="18"/>
                <w:szCs w:val="18"/>
              </w:rPr>
              <w:t>3.视频剪辑与包装动画等后期制作。</w:t>
            </w:r>
          </w:p>
        </w:tc>
      </w:tr>
      <w:tr w14:paraId="4AF90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4049" w:type="pct"/>
            <w:gridSpan w:val="6"/>
            <w:shd w:val="clear" w:color="auto" w:fill="auto"/>
            <w:noWrap/>
            <w:vAlign w:val="center"/>
          </w:tcPr>
          <w:p w14:paraId="21510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合计（元）：贰</w:t>
            </w:r>
            <w:r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kern w:val="0"/>
                <w:sz w:val="18"/>
                <w:szCs w:val="18"/>
                <w:u w:val="single"/>
                <w:lang w:val="en-US" w:eastAsia="zh-CN" w:bidi="ar"/>
              </w:rPr>
              <w:t>万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贰</w:t>
            </w:r>
            <w:r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kern w:val="0"/>
                <w:sz w:val="18"/>
                <w:szCs w:val="18"/>
                <w:u w:val="single"/>
                <w:lang w:val="en-US" w:eastAsia="zh-CN" w:bidi="ar"/>
              </w:rPr>
              <w:t>仟伍佰元整 （￥</w:t>
            </w:r>
            <w:r>
              <w:rPr>
                <w:rFonts w:hint="eastAsia" w:ascii="微软雅黑 Light" w:hAnsi="微软雅黑 Light" w:eastAsia="微软雅黑 Light" w:cs="微软雅黑 Light"/>
                <w:color w:val="000000"/>
                <w:kern w:val="0"/>
                <w:sz w:val="18"/>
                <w:szCs w:val="18"/>
                <w:u w:val="single"/>
                <w:lang w:bidi="ar"/>
              </w:rPr>
              <w:t>22500.00</w:t>
            </w:r>
            <w:r>
              <w:rPr>
                <w:rFonts w:hint="eastAsia" w:ascii="微软雅黑 Light" w:hAnsi="微软雅黑 Light" w:eastAsia="微软雅黑 Light" w:cs="微软雅黑 Light"/>
                <w:i w:val="0"/>
                <w:iCs w:val="0"/>
                <w:color w:val="000000"/>
                <w:kern w:val="0"/>
                <w:sz w:val="18"/>
                <w:szCs w:val="18"/>
                <w:u w:val="single"/>
                <w:lang w:val="en-US" w:eastAsia="zh-CN" w:bidi="ar"/>
              </w:rPr>
              <w:t>）</w:t>
            </w:r>
          </w:p>
        </w:tc>
        <w:tc>
          <w:tcPr>
            <w:tcW w:w="950" w:type="pct"/>
            <w:shd w:val="clear" w:color="auto" w:fill="auto"/>
            <w:noWrap/>
            <w:vAlign w:val="center"/>
          </w:tcPr>
          <w:p w14:paraId="3B805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6BF0DBB0">
      <w:pPr>
        <w:pStyle w:val="2"/>
        <w:spacing w:before="156" w:beforeLines="50" w:after="0" w:line="360" w:lineRule="auto"/>
        <w:rPr>
          <w:rFonts w:ascii="宋体" w:hAnsi="宋体" w:eastAsia="宋体" w:cs="Times New Roman"/>
          <w:color w:val="auto"/>
          <w:sz w:val="21"/>
          <w:szCs w:val="24"/>
          <w14:ligatures w14:val="none"/>
        </w:rPr>
      </w:pPr>
      <w:r>
        <w:rPr>
          <w:rFonts w:hint="eastAsia" w:ascii="宋体" w:hAnsi="宋体" w:eastAsia="宋体" w:cs="Times New Roman"/>
          <w:color w:val="auto"/>
          <w:sz w:val="21"/>
          <w:szCs w:val="24"/>
          <w:lang w:val="en-US" w:eastAsia="zh-CN"/>
          <w14:ligatures w14:val="none"/>
        </w:rPr>
        <w:t>二、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主要服务及技术要求</w:t>
      </w:r>
    </w:p>
    <w:p w14:paraId="1228E33B">
      <w:pPr>
        <w:pStyle w:val="2"/>
        <w:spacing w:before="156" w:beforeLines="50" w:after="0" w:line="360" w:lineRule="auto"/>
        <w:rPr>
          <w:rFonts w:ascii="宋体" w:hAnsi="宋体" w:eastAsia="宋体" w:cs="Times New Roman"/>
          <w:color w:val="auto"/>
          <w:sz w:val="21"/>
          <w:szCs w:val="24"/>
          <w14:ligatures w14:val="none"/>
        </w:rPr>
      </w:pPr>
      <w:bookmarkStart w:id="19" w:name="_Toc432428752"/>
      <w:bookmarkStart w:id="20" w:name="_Toc432428753"/>
      <w:r>
        <w:rPr>
          <w:rFonts w:ascii="宋体" w:hAnsi="宋体" w:eastAsia="宋体" w:cs="Times New Roman"/>
          <w:color w:val="auto"/>
          <w:sz w:val="21"/>
          <w:szCs w:val="24"/>
          <w14:ligatures w14:val="none"/>
        </w:rPr>
        <w:t>(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一</w:t>
      </w:r>
      <w:r>
        <w:rPr>
          <w:rFonts w:ascii="宋体" w:hAnsi="宋体" w:eastAsia="宋体" w:cs="Times New Roman"/>
          <w:color w:val="auto"/>
          <w:sz w:val="21"/>
          <w:szCs w:val="24"/>
          <w14:ligatures w14:val="none"/>
        </w:rPr>
        <w:t>)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项目总体要求</w:t>
      </w:r>
    </w:p>
    <w:p w14:paraId="45A1FE50">
      <w:pPr>
        <w:pStyle w:val="3"/>
        <w:spacing w:before="156" w:beforeLines="50" w:after="0" w:line="360" w:lineRule="auto"/>
        <w:rPr>
          <w:rFonts w:ascii="宋体" w:hAnsi="宋体" w:eastAsia="宋体" w:cs="Times New Roman"/>
          <w:color w:val="auto"/>
          <w:sz w:val="21"/>
          <w:szCs w:val="24"/>
          <w14:ligatures w14:val="none"/>
        </w:rPr>
      </w:pP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1.</w:t>
      </w:r>
      <w:r>
        <w:rPr>
          <w:rFonts w:hint="eastAsia" w:ascii="宋体" w:hAnsi="宋体"/>
        </w:rPr>
        <w:t xml:space="preserve"> 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投标人为该项目配备一支有丰富经验的</w:t>
      </w:r>
      <w:r>
        <w:rPr>
          <w:rFonts w:hint="eastAsia" w:ascii="宋体" w:hAnsi="宋体" w:eastAsia="宋体" w:cs="Times New Roman"/>
          <w:color w:val="auto"/>
          <w:sz w:val="21"/>
          <w:szCs w:val="24"/>
          <w:lang w:val="en-US" w:eastAsia="zh-CN"/>
          <w14:ligatures w14:val="none"/>
        </w:rPr>
        <w:t>思政课教学视频制作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服务团队，团队需配置内容策划、视频拍摄、动画制作、内容审核等技术人员。</w:t>
      </w:r>
    </w:p>
    <w:p w14:paraId="72A61F85">
      <w:pPr>
        <w:pStyle w:val="3"/>
        <w:spacing w:before="156" w:beforeLines="50" w:after="0" w:line="360" w:lineRule="auto"/>
        <w:rPr>
          <w:rFonts w:ascii="宋体" w:hAnsi="宋体" w:eastAsia="宋体" w:cs="Times New Roman"/>
          <w:color w:val="auto"/>
          <w:sz w:val="21"/>
          <w:szCs w:val="24"/>
          <w14:ligatures w14:val="none"/>
        </w:rPr>
      </w:pP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2.</w:t>
      </w:r>
      <w:r>
        <w:rPr>
          <w:rFonts w:hint="eastAsia" w:ascii="宋体" w:hAnsi="宋体" w:cs="宋体"/>
          <w:kern w:val="0"/>
          <w:sz w:val="24"/>
        </w:rPr>
        <w:t xml:space="preserve"> 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服务团队须根据思政课教学目标和学科特点</w:t>
      </w:r>
      <w:r>
        <w:rPr>
          <w:rFonts w:hint="eastAsia" w:ascii="宋体" w:hAnsi="宋体" w:eastAsia="宋体" w:cs="Times New Roman"/>
          <w:color w:val="auto"/>
          <w:sz w:val="21"/>
          <w:szCs w:val="24"/>
          <w:lang w:val="en-US" w:eastAsia="zh-CN"/>
          <w14:ligatures w14:val="none"/>
        </w:rPr>
        <w:t>、实践课的教学要求和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特点策划制定合理、有序的设计策划、拍摄</w:t>
      </w:r>
      <w:r>
        <w:rPr>
          <w:rFonts w:hint="eastAsia" w:ascii="宋体" w:hAnsi="宋体" w:eastAsia="宋体" w:cs="Times New Roman"/>
          <w:color w:val="auto"/>
          <w:sz w:val="21"/>
          <w:szCs w:val="24"/>
          <w:lang w:eastAsia="zh-CN"/>
          <w14:ligatures w14:val="none"/>
        </w:rPr>
        <w:t>、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整理素材</w:t>
      </w:r>
      <w:r>
        <w:rPr>
          <w:rFonts w:hint="eastAsia" w:ascii="宋体" w:hAnsi="宋体" w:eastAsia="宋体" w:cs="Times New Roman"/>
          <w:color w:val="auto"/>
          <w:sz w:val="21"/>
          <w:szCs w:val="24"/>
          <w:lang w:eastAsia="zh-CN"/>
          <w14:ligatures w14:val="none"/>
        </w:rPr>
        <w:t>、</w:t>
      </w:r>
      <w:r>
        <w:rPr>
          <w:rFonts w:hint="eastAsia" w:ascii="宋体" w:hAnsi="宋体" w:eastAsia="宋体" w:cs="Times New Roman"/>
          <w:color w:val="auto"/>
          <w:sz w:val="21"/>
          <w:szCs w:val="24"/>
          <w:lang w:val="en-US" w:eastAsia="zh-CN"/>
          <w14:ligatures w14:val="none"/>
        </w:rPr>
        <w:t>课件制作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及</w:t>
      </w:r>
      <w:r>
        <w:rPr>
          <w:rFonts w:hint="eastAsia" w:ascii="宋体" w:hAnsi="宋体" w:eastAsia="宋体" w:cs="Times New Roman"/>
          <w:color w:val="auto"/>
          <w:sz w:val="21"/>
          <w:szCs w:val="24"/>
          <w:lang w:val="en-US" w:eastAsia="zh-CN"/>
          <w14:ligatures w14:val="none"/>
        </w:rPr>
        <w:t>后期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制作等。</w:t>
      </w:r>
    </w:p>
    <w:p w14:paraId="6A143710">
      <w:pPr>
        <w:pStyle w:val="3"/>
        <w:spacing w:before="156" w:beforeLines="50" w:after="0" w:line="360" w:lineRule="auto"/>
        <w:rPr>
          <w:rFonts w:ascii="宋体" w:hAnsi="宋体" w:eastAsia="宋体" w:cs="Times New Roman"/>
          <w:color w:val="auto"/>
          <w:sz w:val="21"/>
          <w:szCs w:val="24"/>
          <w14:ligatures w14:val="none"/>
        </w:rPr>
      </w:pP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3．鉴于内容展播的特殊性，投标人须配备内容审核系统和内容编辑的人员，有人机结合的内容审核服务能力，确保上线内容的政治性和科学性。</w:t>
      </w:r>
    </w:p>
    <w:p w14:paraId="48048773">
      <w:pPr>
        <w:pStyle w:val="3"/>
        <w:spacing w:before="156" w:beforeLines="50" w:after="0" w:line="360" w:lineRule="auto"/>
        <w:rPr>
          <w:rFonts w:ascii="宋体" w:hAnsi="宋体" w:eastAsia="宋体" w:cs="Times New Roman"/>
          <w:color w:val="auto"/>
          <w:sz w:val="21"/>
          <w:szCs w:val="24"/>
          <w14:ligatures w14:val="none"/>
        </w:rPr>
      </w:pP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（二）</w:t>
      </w:r>
      <w:bookmarkEnd w:id="19"/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拍摄及其他服务要求</w:t>
      </w:r>
    </w:p>
    <w:p w14:paraId="70CD2675">
      <w:pPr>
        <w:pStyle w:val="3"/>
        <w:spacing w:before="156" w:beforeLines="50" w:after="0" w:line="360" w:lineRule="auto"/>
        <w:rPr>
          <w:rFonts w:ascii="宋体" w:hAnsi="宋体" w:eastAsia="宋体" w:cs="Times New Roman"/>
          <w:color w:val="auto"/>
          <w:sz w:val="21"/>
          <w:szCs w:val="24"/>
          <w14:ligatures w14:val="none"/>
        </w:rPr>
      </w:pP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1.拍摄场地。根据采购人要求</w:t>
      </w:r>
      <w:r>
        <w:rPr>
          <w:rFonts w:hint="eastAsia" w:ascii="宋体" w:hAnsi="宋体" w:eastAsia="宋体" w:cs="Times New Roman"/>
          <w:color w:val="auto"/>
          <w:sz w:val="21"/>
          <w:szCs w:val="24"/>
          <w:lang w:val="en-US" w:eastAsia="zh-CN"/>
          <w14:ligatures w14:val="none"/>
        </w:rPr>
        <w:t>项目需求提供拍摄场地，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福州市内以市区</w:t>
      </w:r>
      <w:r>
        <w:rPr>
          <w:rFonts w:hint="eastAsia" w:ascii="宋体" w:hAnsi="宋体" w:eastAsia="宋体" w:cs="Times New Roman"/>
          <w:color w:val="auto"/>
          <w:sz w:val="21"/>
          <w:szCs w:val="24"/>
          <w:lang w:val="en-US" w:eastAsia="zh-CN"/>
          <w14:ligatures w14:val="none"/>
        </w:rPr>
        <w:t>实景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拍摄、采购人指定外景拍摄</w:t>
      </w:r>
      <w:r>
        <w:rPr>
          <w:rFonts w:hint="eastAsia" w:ascii="宋体" w:hAnsi="宋体" w:eastAsia="宋体" w:cs="Times New Roman"/>
          <w:color w:val="auto"/>
          <w:sz w:val="21"/>
          <w:szCs w:val="24"/>
          <w:lang w:val="en-US" w:eastAsia="zh-CN"/>
          <w14:ligatures w14:val="none"/>
        </w:rPr>
        <w:t>和在福州市区内有专业摄影棚拍摄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。</w:t>
      </w:r>
    </w:p>
    <w:p w14:paraId="5D4E1266">
      <w:pPr>
        <w:pStyle w:val="3"/>
        <w:spacing w:before="156" w:beforeLines="50" w:after="0" w:line="360" w:lineRule="auto"/>
        <w:rPr>
          <w:rFonts w:ascii="宋体" w:hAnsi="宋体" w:eastAsia="宋体" w:cs="Times New Roman"/>
          <w:color w:val="auto"/>
          <w:sz w:val="21"/>
          <w:szCs w:val="24"/>
          <w14:ligatures w14:val="none"/>
        </w:rPr>
      </w:pP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2.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20"/>
      <w:r>
        <w:rPr>
          <w:rFonts w:hint="eastAsia" w:ascii="宋体" w:hAnsi="宋体"/>
          <w:sz w:val="24"/>
          <w:szCs w:val="24"/>
        </w:rPr>
        <w:t xml:space="preserve"> </w:t>
      </w:r>
      <w:r>
        <w:rPr>
          <w:rFonts w:hint="eastAsia" w:ascii="宋体" w:hAnsi="宋体" w:eastAsia="宋体" w:cs="Times New Roman"/>
          <w:color w:val="auto"/>
          <w:sz w:val="21"/>
          <w:szCs w:val="24"/>
          <w14:ligatures w14:val="none"/>
        </w:rPr>
        <w:t>拍摄机位。采用至少2机位（根据拍摄现场实际需要安排）拍摄,所用摄像机分辨率1920X1080，录制视频宽高比16:9，视频帧率为25帧/秒。</w:t>
      </w:r>
    </w:p>
    <w:bookmarkEnd w:id="10"/>
    <w:p w14:paraId="0FD4A52E">
      <w:pPr>
        <w:spacing w:line="360" w:lineRule="auto"/>
        <w:outlineLvl w:val="0"/>
        <w:rPr>
          <w:rFonts w:ascii="宋体" w:hAnsi="宋体"/>
        </w:rPr>
      </w:pPr>
      <w:bookmarkStart w:id="21" w:name="_Toc300038991"/>
      <w:bookmarkStart w:id="22" w:name="_Toc305060401"/>
      <w:r>
        <w:rPr>
          <w:rFonts w:hint="eastAsia" w:ascii="宋体" w:hAnsi="宋体"/>
        </w:rPr>
        <w:t>3．提供专业的拍摄服务。配备专业摄像</w:t>
      </w:r>
      <w:r>
        <w:rPr>
          <w:rFonts w:ascii="宋体" w:hAnsi="宋体"/>
        </w:rPr>
        <w:t>1</w:t>
      </w:r>
      <w:r>
        <w:rPr>
          <w:rFonts w:hint="eastAsia" w:ascii="宋体" w:hAnsi="宋体"/>
        </w:rPr>
        <w:t>-</w:t>
      </w:r>
      <w:r>
        <w:rPr>
          <w:rFonts w:ascii="宋体" w:hAnsi="宋体"/>
        </w:rPr>
        <w:t>2</w:t>
      </w:r>
      <w:r>
        <w:rPr>
          <w:rFonts w:hint="eastAsia" w:ascii="宋体" w:hAnsi="宋体"/>
        </w:rPr>
        <w:t>人，从业时间3年以上。具体拍摄时间与次序双方互相协商。</w:t>
      </w:r>
    </w:p>
    <w:p w14:paraId="6BD19DA4">
      <w:pPr>
        <w:spacing w:line="360" w:lineRule="auto"/>
        <w:outlineLvl w:val="0"/>
        <w:rPr>
          <w:rFonts w:ascii="宋体" w:hAnsi="宋体"/>
        </w:rPr>
      </w:pPr>
      <w:r>
        <w:rPr>
          <w:rFonts w:hint="eastAsia" w:ascii="宋体" w:hAnsi="宋体"/>
        </w:rPr>
        <w:t>4．实景</w:t>
      </w:r>
      <w:r>
        <w:rPr>
          <w:rFonts w:hint="eastAsia" w:ascii="宋体" w:hAnsi="宋体"/>
          <w:lang w:val="en-US" w:eastAsia="zh-CN"/>
        </w:rPr>
        <w:t>或外景</w:t>
      </w:r>
      <w:r>
        <w:rPr>
          <w:rFonts w:hint="eastAsia" w:ascii="宋体" w:hAnsi="宋体"/>
        </w:rPr>
        <w:t>提供拍摄支持服务。配备化妆师1名，为参与拍摄的人员提供适当拍摄场景的妆容，配备灯光师1名，负责打光或补光。</w:t>
      </w:r>
    </w:p>
    <w:p w14:paraId="639984CD">
      <w:pPr>
        <w:spacing w:line="360" w:lineRule="auto"/>
        <w:outlineLvl w:val="0"/>
        <w:rPr>
          <w:rFonts w:ascii="宋体" w:hAnsi="宋体"/>
        </w:rPr>
      </w:pPr>
      <w:r>
        <w:rPr>
          <w:rFonts w:hint="eastAsia" w:ascii="宋体" w:hAnsi="宋体"/>
        </w:rPr>
        <w:t>5．提供拍摄指导服务。实景拍摄辅导主讲人现场调整拍摄状态、适应镜头拍摄，引导主讲人拍摄出更为自然、流畅的视频。</w:t>
      </w:r>
    </w:p>
    <w:p w14:paraId="13889FCA">
      <w:pPr>
        <w:spacing w:line="360" w:lineRule="auto"/>
        <w:outlineLvl w:val="0"/>
        <w:rPr>
          <w:rFonts w:ascii="宋体" w:hAnsi="宋体"/>
        </w:rPr>
      </w:pPr>
      <w:r>
        <w:rPr>
          <w:rFonts w:hint="eastAsia" w:ascii="宋体" w:hAnsi="宋体"/>
        </w:rPr>
        <w:t>6．提供后期精剪包装服务。配备专业的视频剪辑人员，穿插图文资源以及相应特效，确保视频兼具画面的观赏性与内容的准确性。</w:t>
      </w:r>
    </w:p>
    <w:p w14:paraId="7B66D0C3">
      <w:pPr>
        <w:spacing w:line="360" w:lineRule="auto"/>
        <w:outlineLvl w:val="0"/>
        <w:rPr>
          <w:rFonts w:ascii="宋体" w:hAnsi="宋体"/>
        </w:rPr>
      </w:pPr>
      <w:r>
        <w:rPr>
          <w:rFonts w:hint="eastAsia" w:ascii="宋体" w:hAnsi="宋体"/>
        </w:rPr>
        <w:t>7．提供动画制作服务，配套专业的影视动画制作人员，穿插图文动画，保证视频包装效果。</w:t>
      </w:r>
    </w:p>
    <w:p w14:paraId="498D0839">
      <w:pPr>
        <w:spacing w:line="360" w:lineRule="auto"/>
        <w:ind w:firstLine="140" w:firstLineChars="67"/>
        <w:rPr>
          <w:rFonts w:ascii="宋体" w:hAnsi="宋体"/>
        </w:rPr>
      </w:pPr>
      <w:r>
        <w:rPr>
          <w:rFonts w:hint="eastAsia" w:ascii="宋体" w:hAnsi="宋体"/>
        </w:rPr>
        <w:t>（三）</w:t>
      </w:r>
      <w:bookmarkEnd w:id="21"/>
      <w:bookmarkEnd w:id="22"/>
      <w:r>
        <w:rPr>
          <w:rFonts w:hint="eastAsia" w:ascii="宋体" w:hAnsi="宋体"/>
        </w:rPr>
        <w:t>后期制作要求</w:t>
      </w:r>
    </w:p>
    <w:p w14:paraId="2BD5F8AF">
      <w:pPr>
        <w:widowControl/>
        <w:spacing w:line="360" w:lineRule="auto"/>
        <w:jc w:val="left"/>
        <w:outlineLvl w:val="1"/>
        <w:rPr>
          <w:rFonts w:ascii="宋体" w:hAnsi="宋体"/>
        </w:rPr>
      </w:pPr>
      <w:r>
        <w:rPr>
          <w:rFonts w:hint="eastAsia" w:ascii="宋体" w:hAnsi="宋体"/>
        </w:rPr>
        <w:t>1.根据教学能力大赛要求定制；</w:t>
      </w:r>
    </w:p>
    <w:p w14:paraId="4AB20B1E">
      <w:pPr>
        <w:widowControl/>
        <w:spacing w:line="360" w:lineRule="auto"/>
        <w:jc w:val="left"/>
        <w:outlineLvl w:val="1"/>
        <w:rPr>
          <w:rFonts w:ascii="宋体" w:hAnsi="宋体"/>
        </w:rPr>
      </w:pPr>
      <w:r>
        <w:rPr>
          <w:rFonts w:hint="eastAsia" w:ascii="宋体" w:hAnsi="宋体"/>
        </w:rPr>
        <w:t>2.视频信号源，稳定性:全片图像同步性能稳定，无失步现象，图像无抖动跳跃，色彩无突变，编辑点处图像稳定色调:白平衡正确，无明显偏色，多机拍摄的镜头衔接处无明显色差。</w:t>
      </w:r>
    </w:p>
    <w:p w14:paraId="2B616AEC">
      <w:pPr>
        <w:widowControl/>
        <w:spacing w:line="360" w:lineRule="auto"/>
        <w:jc w:val="left"/>
        <w:outlineLvl w:val="1"/>
        <w:rPr>
          <w:rFonts w:ascii="宋体" w:hAnsi="宋体"/>
        </w:rPr>
      </w:pPr>
      <w:r>
        <w:rPr>
          <w:rFonts w:hint="eastAsia" w:ascii="宋体" w:hAnsi="宋体"/>
        </w:rPr>
        <w:t>3.音频信号源，声道:立体声、双声道。音画同步，无明显的交流声或其他杂音。伴音清晰、饱满、圆润，无失真、噪声杂音干扰、音量忽大忽小现象。</w:t>
      </w:r>
    </w:p>
    <w:p w14:paraId="534F9E39">
      <w:pPr>
        <w:rPr>
          <w:rFonts w:ascii="宋体" w:hAnsi="宋体"/>
        </w:rPr>
      </w:pPr>
      <w:r>
        <w:rPr>
          <w:rFonts w:hint="eastAsia" w:ascii="宋体" w:hAnsi="宋体"/>
        </w:rPr>
        <w:t>4.视频成品封装：视频采用 MP4 封装，字幕文件采用 SRT 格式，中文字幕需分成两个SRT 文件。</w:t>
      </w:r>
    </w:p>
    <w:p w14:paraId="458F513E">
      <w:pPr>
        <w:spacing w:line="360" w:lineRule="auto"/>
        <w:outlineLvl w:val="1"/>
        <w:rPr>
          <w:rFonts w:hint="eastAsia" w:ascii="宋体" w:hAnsi="宋体"/>
        </w:rPr>
      </w:pPr>
      <w:r>
        <w:rPr>
          <w:rFonts w:ascii="宋体" w:hAnsi="宋体"/>
        </w:rPr>
        <w:t xml:space="preserve">5. </w:t>
      </w:r>
      <w:r>
        <w:rPr>
          <w:rFonts w:hint="eastAsia" w:ascii="宋体" w:hAnsi="宋体"/>
        </w:rPr>
        <w:t>动画，设计制作合理，贴合教学内容表现，根据主讲人要求补充动画内容、特效内容及相关素材。</w:t>
      </w:r>
    </w:p>
    <w:p w14:paraId="4E5CB458">
      <w:pPr>
        <w:spacing w:line="360" w:lineRule="auto"/>
        <w:outlineLvl w:val="1"/>
        <w:rPr>
          <w:rFonts w:hint="default" w:ascii="宋体" w:hAnsi="宋体" w:eastAsia="宋体"/>
          <w:lang w:val="en-US" w:eastAsia="zh-CN"/>
        </w:rPr>
      </w:pPr>
      <w:r>
        <w:rPr>
          <w:rFonts w:hint="eastAsia" w:ascii="宋体" w:hAnsi="宋体"/>
          <w:lang w:val="en-US" w:eastAsia="zh-CN"/>
        </w:rPr>
        <w:t>6.视频时长：8-10分钟。</w:t>
      </w:r>
    </w:p>
    <w:p w14:paraId="262C9F3A"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  <w:lang w:val="en-US" w:eastAsia="zh-CN"/>
        </w:rPr>
        <w:t>7</w:t>
      </w:r>
      <w:r>
        <w:rPr>
          <w:rFonts w:hint="eastAsia" w:ascii="宋体" w:hAnsi="宋体"/>
        </w:rPr>
        <w:t>.演示文稿（PPT）制作要求</w:t>
      </w:r>
    </w:p>
    <w:p w14:paraId="18E53689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（</w:t>
      </w:r>
      <w:r>
        <w:rPr>
          <w:rFonts w:hint="eastAsia" w:ascii="宋体" w:hAnsi="宋体"/>
        </w:rPr>
        <w:t>1）制作原则</w:t>
      </w:r>
    </w:p>
    <w:p w14:paraId="2C69DDAB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①</w:t>
      </w:r>
      <w:r>
        <w:rPr>
          <w:rFonts w:hint="eastAsia" w:ascii="宋体" w:hAnsi="宋体"/>
        </w:rPr>
        <w:t xml:space="preserve"> 演示文稿（PPT）内容丰富，可集文字、图形、图像、声音以及视频等多种媒体元素于一体。</w:t>
      </w:r>
    </w:p>
    <w:p w14:paraId="7469AFED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②</w:t>
      </w:r>
      <w:r>
        <w:rPr>
          <w:rFonts w:hint="eastAsia" w:ascii="宋体" w:hAnsi="宋体"/>
        </w:rPr>
        <w:t xml:space="preserve"> 页面设置要求符合高清格式比例，幻灯片大小为“全屏显示 16：9”。</w:t>
      </w:r>
    </w:p>
    <w:p w14:paraId="158F09E4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③</w:t>
      </w:r>
      <w:r>
        <w:rPr>
          <w:rFonts w:hint="eastAsia" w:ascii="宋体" w:hAnsi="宋体"/>
        </w:rPr>
        <w:t xml:space="preserve"> 整体效果应风格统一、色彩协调、美观大方。</w:t>
      </w:r>
    </w:p>
    <w:p w14:paraId="2B7B2DCC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④</w:t>
      </w:r>
      <w:r>
        <w:rPr>
          <w:rFonts w:hint="eastAsia" w:ascii="宋体" w:hAnsi="宋体"/>
        </w:rPr>
        <w:t xml:space="preserve"> 整体风格突出</w:t>
      </w:r>
      <w:r>
        <w:rPr>
          <w:rFonts w:hint="eastAsia" w:ascii="宋体" w:hAnsi="宋体"/>
          <w:lang w:val="en-US" w:eastAsia="zh-CN"/>
        </w:rPr>
        <w:t>思政课特色PPT</w:t>
      </w:r>
      <w:r>
        <w:rPr>
          <w:rFonts w:hint="eastAsia" w:ascii="宋体" w:hAnsi="宋体"/>
        </w:rPr>
        <w:t>。</w:t>
      </w:r>
    </w:p>
    <w:p w14:paraId="2F98A6E7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（</w:t>
      </w:r>
      <w:r>
        <w:rPr>
          <w:rFonts w:hint="eastAsia" w:ascii="宋体" w:hAnsi="宋体"/>
        </w:rPr>
        <w:t>2）版心与版式每页四周留出空白，应避免内容顶到页面边缘。</w:t>
      </w:r>
    </w:p>
    <w:p w14:paraId="0E47C3D0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（</w:t>
      </w:r>
      <w:r>
        <w:rPr>
          <w:rFonts w:hint="eastAsia" w:ascii="宋体" w:hAnsi="宋体"/>
        </w:rPr>
        <w:t>3）背景</w:t>
      </w:r>
    </w:p>
    <w:p w14:paraId="722FB882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①</w:t>
      </w:r>
      <w:r>
        <w:rPr>
          <w:rFonts w:hint="eastAsia" w:ascii="宋体" w:hAnsi="宋体"/>
        </w:rPr>
        <w:t xml:space="preserve"> 背景色以简洁适中饱和度为主（颜色保持在一至两种色系内）；</w:t>
      </w:r>
    </w:p>
    <w:p w14:paraId="2BC64B0A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②</w:t>
      </w:r>
      <w:r>
        <w:rPr>
          <w:rFonts w:hint="eastAsia" w:ascii="宋体" w:hAnsi="宋体"/>
        </w:rPr>
        <w:t xml:space="preserve"> 背景和场景不宜变化过多；</w:t>
      </w:r>
    </w:p>
    <w:p w14:paraId="71398331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③</w:t>
      </w:r>
      <w:r>
        <w:rPr>
          <w:rFonts w:hint="eastAsia" w:ascii="宋体" w:hAnsi="宋体"/>
        </w:rPr>
        <w:t xml:space="preserve"> 文字、图形等内容应与背景对比醒目。</w:t>
      </w:r>
    </w:p>
    <w:p w14:paraId="466AD05B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（</w:t>
      </w:r>
      <w:r>
        <w:rPr>
          <w:rFonts w:hint="eastAsia" w:ascii="宋体" w:hAnsi="宋体"/>
        </w:rPr>
        <w:t>4）色调</w:t>
      </w:r>
    </w:p>
    <w:p w14:paraId="0AC82015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①</w:t>
      </w:r>
      <w:r>
        <w:rPr>
          <w:rFonts w:hint="eastAsia" w:ascii="宋体" w:hAnsi="宋体"/>
        </w:rPr>
        <w:t xml:space="preserve"> 色彩的选配应与项目内容相吻合；每一短视频或一系列短视频在配色上应体现出系统性，可选一种主色调再加上一至两种辅助色进行匹配；</w:t>
      </w:r>
    </w:p>
    <w:p w14:paraId="3A83841F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②</w:t>
      </w:r>
      <w:r>
        <w:rPr>
          <w:rFonts w:hint="eastAsia" w:ascii="宋体" w:hAnsi="宋体"/>
        </w:rPr>
        <w:t xml:space="preserve"> 同一屏里文字不宜超出三种颜色。</w:t>
      </w:r>
    </w:p>
    <w:p w14:paraId="62705F78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（</w:t>
      </w:r>
      <w:r>
        <w:rPr>
          <w:rFonts w:hint="eastAsia" w:ascii="宋体" w:hAnsi="宋体"/>
        </w:rPr>
        <w:t>5）字距与行距</w:t>
      </w:r>
    </w:p>
    <w:p w14:paraId="0C0B6001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①</w:t>
      </w:r>
      <w:r>
        <w:rPr>
          <w:rFonts w:hint="eastAsia" w:ascii="宋体" w:hAnsi="宋体"/>
        </w:rPr>
        <w:t xml:space="preserve"> 标题：在文字少的情形下，字距放宽一倍体现舒展性；</w:t>
      </w:r>
    </w:p>
    <w:p w14:paraId="2B6EBEF0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②</w:t>
      </w:r>
      <w:r>
        <w:rPr>
          <w:rFonts w:hint="eastAsia" w:ascii="宋体" w:hAnsi="宋体"/>
        </w:rPr>
        <w:t xml:space="preserve"> 正文：行距使用 1 行或 1.5 行，便于阅读。</w:t>
      </w:r>
    </w:p>
    <w:p w14:paraId="529FB5FB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（</w:t>
      </w:r>
      <w:r>
        <w:rPr>
          <w:rFonts w:hint="eastAsia" w:ascii="宋体" w:hAnsi="宋体"/>
        </w:rPr>
        <w:t>6）配图</w:t>
      </w:r>
    </w:p>
    <w:p w14:paraId="5415523F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①</w:t>
      </w:r>
      <w:r>
        <w:rPr>
          <w:rFonts w:hint="eastAsia" w:ascii="宋体" w:hAnsi="宋体"/>
        </w:rPr>
        <w:t xml:space="preserve"> 图像应清晰并能反映出内容主题思想，分辨率应上 72dpi 以上；</w:t>
      </w:r>
    </w:p>
    <w:p w14:paraId="51012296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②</w:t>
      </w:r>
      <w:r>
        <w:rPr>
          <w:rFonts w:hint="eastAsia" w:ascii="宋体" w:hAnsi="宋体"/>
        </w:rPr>
        <w:t xml:space="preserve"> 图片不可加长或压窄，防止变形；</w:t>
      </w:r>
    </w:p>
    <w:p w14:paraId="3398BD51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③</w:t>
      </w:r>
      <w:r>
        <w:rPr>
          <w:rFonts w:hint="eastAsia" w:ascii="宋体" w:hAnsi="宋体"/>
        </w:rPr>
        <w:t xml:space="preserve"> 图形使用应通俗易懂，便于理解。</w:t>
      </w:r>
    </w:p>
    <w:p w14:paraId="05A3AAB1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（</w:t>
      </w:r>
      <w:r>
        <w:rPr>
          <w:rFonts w:hint="eastAsia" w:ascii="宋体" w:hAnsi="宋体"/>
        </w:rPr>
        <w:t>7）修饰</w:t>
      </w:r>
    </w:p>
    <w:p w14:paraId="72D7E8BE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①</w:t>
      </w:r>
      <w:r>
        <w:rPr>
          <w:rFonts w:hint="eastAsia" w:ascii="宋体" w:hAnsi="宋体"/>
        </w:rPr>
        <w:t xml:space="preserve"> 细线条的运用比粗线条更显精致；</w:t>
      </w:r>
    </w:p>
    <w:p w14:paraId="6008B3D0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②</w:t>
      </w:r>
      <w:r>
        <w:rPr>
          <w:rFonts w:hint="eastAsia" w:ascii="宋体" w:hAnsi="宋体"/>
        </w:rPr>
        <w:t xml:space="preserve"> 扁平式的装饰更接近时代审美；</w:t>
      </w:r>
    </w:p>
    <w:p w14:paraId="48E716E4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③</w:t>
      </w:r>
      <w:r>
        <w:rPr>
          <w:rFonts w:hint="eastAsia" w:ascii="宋体" w:hAnsi="宋体"/>
        </w:rPr>
        <w:t xml:space="preserve"> 有趣味的装饰通常更能吸引人。</w:t>
      </w:r>
    </w:p>
    <w:p w14:paraId="64660AFB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（</w:t>
      </w:r>
      <w:r>
        <w:rPr>
          <w:rFonts w:hint="eastAsia" w:ascii="宋体" w:hAnsi="宋体"/>
        </w:rPr>
        <w:t>8）版权来源</w:t>
      </w:r>
    </w:p>
    <w:p w14:paraId="39C03D70">
      <w:pPr>
        <w:spacing w:line="360" w:lineRule="auto"/>
        <w:rPr>
          <w:rFonts w:ascii="宋体" w:hAnsi="宋体"/>
        </w:rPr>
      </w:pPr>
      <w:r>
        <w:rPr>
          <w:rFonts w:ascii="宋体" w:hAnsi="宋体"/>
        </w:rPr>
        <w:t>素材选用注意版权，涉及版权问题须加入“版权来源”信息。</w:t>
      </w:r>
    </w:p>
    <w:p w14:paraId="77190B13">
      <w:pPr>
        <w:pStyle w:val="39"/>
        <w:spacing w:line="360" w:lineRule="auto"/>
        <w:ind w:left="0"/>
        <w:jc w:val="both"/>
        <w:rPr>
          <w:rFonts w:ascii="宋体" w:hAnsi="宋体"/>
          <w:sz w:val="24"/>
          <w:szCs w:val="28"/>
        </w:rPr>
        <w:sectPr>
          <w:pgSz w:w="11906" w:h="16838"/>
          <w:pgMar w:top="993" w:right="1274" w:bottom="851" w:left="1276" w:header="851" w:footer="992" w:gutter="0"/>
          <w:cols w:space="720" w:num="1"/>
          <w:docGrid w:type="lines" w:linePitch="312" w:charSpace="0"/>
        </w:sectPr>
      </w:pPr>
    </w:p>
    <w:p w14:paraId="16CABC89">
      <w:pPr>
        <w:rPr>
          <w:rFonts w:ascii="宋体" w:hAnsi="宋体"/>
        </w:rPr>
      </w:pPr>
      <w:r>
        <w:rPr>
          <w:rFonts w:hint="eastAsia" w:ascii="宋体" w:hAnsi="宋体"/>
          <w:lang w:val="en-US" w:eastAsia="zh-CN"/>
        </w:rPr>
        <w:t>三</w:t>
      </w:r>
      <w:r>
        <w:rPr>
          <w:rFonts w:hint="eastAsia" w:ascii="宋体" w:hAnsi="宋体"/>
        </w:rPr>
        <w:t>、商务条件要求</w:t>
      </w:r>
    </w:p>
    <w:tbl>
      <w:tblPr>
        <w:tblStyle w:val="22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2060"/>
        <w:gridCol w:w="9861"/>
      </w:tblGrid>
      <w:tr w14:paraId="6DDE11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AAF8525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794" w:type="pct"/>
          </w:tcPr>
          <w:p w14:paraId="3A93D12E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类型</w:t>
            </w:r>
          </w:p>
        </w:tc>
        <w:tc>
          <w:tcPr>
            <w:tcW w:w="3802" w:type="pct"/>
          </w:tcPr>
          <w:p w14:paraId="53CCAB8D">
            <w:pPr>
              <w:spacing w:line="360" w:lineRule="auto"/>
              <w:ind w:firstLine="0" w:firstLineChars="0"/>
              <w:rPr>
                <w:rFonts w:ascii="宋体" w:hAnsi="宋体"/>
              </w:rPr>
            </w:pPr>
            <w:r>
              <w:rPr>
                <w:rFonts w:ascii="宋体" w:hAnsi="宋体"/>
              </w:rPr>
              <w:t>具体要求描述</w:t>
            </w:r>
          </w:p>
        </w:tc>
      </w:tr>
      <w:tr w14:paraId="14F19C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405" w:type="pct"/>
          </w:tcPr>
          <w:p w14:paraId="7B615794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1</w:t>
            </w:r>
          </w:p>
        </w:tc>
        <w:tc>
          <w:tcPr>
            <w:tcW w:w="794" w:type="pct"/>
          </w:tcPr>
          <w:p w14:paraId="6069BD6D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交货地点</w:t>
            </w:r>
          </w:p>
        </w:tc>
        <w:tc>
          <w:tcPr>
            <w:tcW w:w="3802" w:type="pct"/>
          </w:tcPr>
          <w:p w14:paraId="5394F7C1">
            <w:pPr>
              <w:spacing w:line="360" w:lineRule="auto"/>
              <w:ind w:firstLine="0" w:firstLineChars="0"/>
              <w:rPr>
                <w:rFonts w:ascii="宋体" w:hAnsi="宋体"/>
              </w:rPr>
            </w:pPr>
            <w:r>
              <w:rPr>
                <w:rFonts w:ascii="宋体" w:hAnsi="宋体"/>
              </w:rPr>
              <w:t>福建师范大学旗山校区指定地点</w:t>
            </w:r>
          </w:p>
        </w:tc>
      </w:tr>
      <w:tr w14:paraId="5033D3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1406131D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2</w:t>
            </w:r>
          </w:p>
        </w:tc>
        <w:tc>
          <w:tcPr>
            <w:tcW w:w="794" w:type="pct"/>
          </w:tcPr>
          <w:p w14:paraId="4817EA8B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交货时间</w:t>
            </w:r>
          </w:p>
        </w:tc>
        <w:tc>
          <w:tcPr>
            <w:tcW w:w="3802" w:type="pct"/>
          </w:tcPr>
          <w:p w14:paraId="588DBA60">
            <w:pPr>
              <w:spacing w:line="360" w:lineRule="auto"/>
              <w:ind w:firstLine="0" w:firstLineChars="0"/>
              <w:rPr>
                <w:rFonts w:ascii="宋体" w:hAnsi="宋体"/>
              </w:rPr>
            </w:pPr>
            <w:r>
              <w:rPr>
                <w:rFonts w:ascii="宋体" w:hAnsi="宋体"/>
              </w:rPr>
              <w:t>自合同签订之日起</w:t>
            </w:r>
            <w:r>
              <w:rPr>
                <w:rFonts w:hint="eastAsia" w:ascii="宋体" w:hAnsi="宋体"/>
                <w:lang w:val="en-US" w:eastAsia="zh-CN"/>
              </w:rPr>
              <w:t>10</w:t>
            </w:r>
            <w:r>
              <w:rPr>
                <w:rFonts w:ascii="宋体" w:hAnsi="宋体"/>
              </w:rPr>
              <w:t>日</w:t>
            </w:r>
            <w:r>
              <w:rPr>
                <w:rFonts w:hint="eastAsia" w:ascii="宋体" w:hAnsi="宋体"/>
              </w:rPr>
              <w:t>内完成</w:t>
            </w:r>
          </w:p>
        </w:tc>
      </w:tr>
      <w:tr w14:paraId="7C0821D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6F48EBBE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3</w:t>
            </w:r>
          </w:p>
        </w:tc>
        <w:tc>
          <w:tcPr>
            <w:tcW w:w="794" w:type="pct"/>
          </w:tcPr>
          <w:p w14:paraId="5B88D873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交货条件</w:t>
            </w:r>
          </w:p>
        </w:tc>
        <w:tc>
          <w:tcPr>
            <w:tcW w:w="3802" w:type="pct"/>
          </w:tcPr>
          <w:p w14:paraId="2BE49A81">
            <w:pPr>
              <w:spacing w:line="360" w:lineRule="auto"/>
              <w:ind w:firstLine="0" w:firstLineChars="0"/>
              <w:rPr>
                <w:rFonts w:ascii="宋体" w:hAnsi="宋体"/>
              </w:rPr>
            </w:pPr>
            <w:r>
              <w:rPr>
                <w:rFonts w:ascii="宋体" w:hAnsi="宋体"/>
              </w:rPr>
              <w:t>采购人验收合格后</w:t>
            </w:r>
          </w:p>
        </w:tc>
      </w:tr>
      <w:tr w14:paraId="5DD96C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5888A772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4</w:t>
            </w:r>
          </w:p>
        </w:tc>
        <w:tc>
          <w:tcPr>
            <w:tcW w:w="794" w:type="pct"/>
          </w:tcPr>
          <w:p w14:paraId="0D8C9383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履约验收方式</w:t>
            </w:r>
          </w:p>
        </w:tc>
        <w:tc>
          <w:tcPr>
            <w:tcW w:w="3802" w:type="pct"/>
          </w:tcPr>
          <w:p w14:paraId="6503CCEC">
            <w:pPr>
              <w:spacing w:line="360" w:lineRule="auto"/>
              <w:ind w:firstLine="0" w:firstLineChars="0"/>
              <w:rPr>
                <w:rFonts w:ascii="宋体" w:hAnsi="宋体"/>
              </w:rPr>
            </w:pPr>
            <w:r>
              <w:rPr>
                <w:rFonts w:ascii="宋体" w:hAnsi="宋体"/>
              </w:rPr>
              <w:t>按采购文件及合同要求进行验收。</w:t>
            </w:r>
          </w:p>
        </w:tc>
      </w:tr>
      <w:tr w14:paraId="665F3A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" w:type="pct"/>
          </w:tcPr>
          <w:p w14:paraId="792DD49E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5</w:t>
            </w:r>
          </w:p>
        </w:tc>
        <w:tc>
          <w:tcPr>
            <w:tcW w:w="794" w:type="pct"/>
          </w:tcPr>
          <w:p w14:paraId="6E42AD8D">
            <w:pPr>
              <w:spacing w:line="360" w:lineRule="auto"/>
              <w:ind w:firstLine="210" w:firstLineChars="100"/>
              <w:rPr>
                <w:rFonts w:ascii="宋体" w:hAnsi="宋体"/>
              </w:rPr>
            </w:pPr>
            <w:r>
              <w:rPr>
                <w:rFonts w:ascii="宋体" w:hAnsi="宋体"/>
              </w:rPr>
              <w:t>支付方式</w:t>
            </w:r>
          </w:p>
        </w:tc>
        <w:tc>
          <w:tcPr>
            <w:tcW w:w="3802" w:type="pct"/>
          </w:tcPr>
          <w:p w14:paraId="0F08F9AE">
            <w:pPr>
              <w:spacing w:line="400" w:lineRule="exact"/>
              <w:ind w:firstLine="0" w:firstLineChars="0"/>
              <w:rPr>
                <w:rFonts w:ascii="宋体" w:hAnsi="宋体"/>
              </w:rPr>
            </w:pPr>
            <w:r>
              <w:rPr>
                <w:rFonts w:ascii="宋体" w:hAnsi="宋体"/>
              </w:rPr>
              <w:t>采购方组织验收，验收合格后，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  <w:r>
              <w:rPr>
                <w:rFonts w:ascii="宋体" w:hAnsi="宋体"/>
              </w:rPr>
              <w:t>0日内支付项目合同款的100%。</w:t>
            </w:r>
          </w:p>
        </w:tc>
      </w:tr>
    </w:tbl>
    <w:p w14:paraId="6E59626B">
      <w:pPr>
        <w:spacing w:line="500" w:lineRule="exact"/>
        <w:ind w:firstLine="210" w:firstLineChars="100"/>
        <w:rPr>
          <w:rFonts w:ascii="宋体" w:hAnsi="宋体"/>
        </w:rPr>
      </w:pPr>
      <w:r>
        <w:rPr>
          <w:rFonts w:ascii="宋体" w:hAnsi="宋体"/>
        </w:rPr>
        <w:t>6、履约保证金：不收取履约保证金。</w:t>
      </w:r>
    </w:p>
    <w:p w14:paraId="76218F97">
      <w:pPr>
        <w:spacing w:line="500" w:lineRule="exact"/>
        <w:ind w:firstLine="210" w:firstLineChars="100"/>
        <w:rPr>
          <w:rFonts w:ascii="宋体" w:hAnsi="宋体"/>
        </w:rPr>
      </w:pPr>
      <w:r>
        <w:rPr>
          <w:rFonts w:ascii="宋体" w:hAnsi="宋体"/>
        </w:rPr>
        <w:t>7、</w:t>
      </w:r>
      <w:r>
        <w:rPr>
          <w:rFonts w:ascii="宋体" w:hAnsi="宋体"/>
          <w:sz w:val="24"/>
        </w:rPr>
        <w:t>其它要</w:t>
      </w:r>
      <w:r>
        <w:rPr>
          <w:rFonts w:hint="eastAsia" w:ascii="宋体" w:hAnsi="宋体"/>
          <w:sz w:val="24"/>
        </w:rPr>
        <w:t>求</w:t>
      </w:r>
    </w:p>
    <w:p w14:paraId="63182FB9">
      <w:pPr>
        <w:spacing w:line="440" w:lineRule="exact"/>
        <w:ind w:firstLine="495" w:firstLineChars="236"/>
        <w:outlineLvl w:val="3"/>
        <w:rPr>
          <w:rFonts w:ascii="宋体" w:hAnsi="宋体"/>
        </w:rPr>
      </w:pPr>
      <w:r>
        <w:rPr>
          <w:rFonts w:hint="eastAsia" w:ascii="宋体" w:hAnsi="宋体"/>
        </w:rPr>
        <w:t>成交人提供项目</w:t>
      </w:r>
      <w:r>
        <w:rPr>
          <w:rFonts w:ascii="宋体" w:hAnsi="宋体"/>
        </w:rPr>
        <w:t>维保期</w:t>
      </w:r>
      <w:r>
        <w:rPr>
          <w:rFonts w:hint="eastAsia" w:ascii="宋体" w:hAnsi="宋体"/>
          <w:lang w:val="en-US" w:eastAsia="zh-CN"/>
        </w:rPr>
        <w:t>36</w:t>
      </w:r>
      <w:r>
        <w:rPr>
          <w:rFonts w:ascii="宋体" w:hAnsi="宋体"/>
        </w:rPr>
        <w:t>个月。</w:t>
      </w:r>
    </w:p>
    <w:p w14:paraId="4CEC6B5B">
      <w:pPr>
        <w:widowControl/>
        <w:jc w:val="left"/>
        <w:rPr>
          <w:rFonts w:ascii="宋体" w:hAnsi="宋体"/>
        </w:rPr>
      </w:pPr>
      <w:r>
        <w:rPr>
          <w:rFonts w:ascii="宋体" w:hAnsi="宋体"/>
        </w:rPr>
        <w:br w:type="page"/>
      </w:r>
    </w:p>
    <w:p w14:paraId="047F1FE8">
      <w:pPr>
        <w:rPr>
          <w:rFonts w:ascii="宋体" w:hAnsi="宋体"/>
        </w:rPr>
      </w:pPr>
      <w:r>
        <w:rPr>
          <w:rFonts w:hint="eastAsia" w:ascii="宋体" w:hAnsi="宋体"/>
          <w:lang w:val="en-US" w:eastAsia="zh-CN"/>
        </w:rPr>
        <w:t>四</w:t>
      </w:r>
      <w:r>
        <w:rPr>
          <w:rFonts w:ascii="宋体" w:hAnsi="宋体"/>
        </w:rPr>
        <w:t>、综合评分方法</w:t>
      </w:r>
    </w:p>
    <w:tbl>
      <w:tblPr>
        <w:tblStyle w:val="2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134"/>
        <w:gridCol w:w="9774"/>
      </w:tblGrid>
      <w:tr w14:paraId="05306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vAlign w:val="center"/>
          </w:tcPr>
          <w:p w14:paraId="4B86E0A3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评标项目</w:t>
            </w:r>
          </w:p>
        </w:tc>
        <w:tc>
          <w:tcPr>
            <w:tcW w:w="1134" w:type="dxa"/>
            <w:vAlign w:val="center"/>
          </w:tcPr>
          <w:p w14:paraId="1064AA34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评标分值</w:t>
            </w:r>
          </w:p>
        </w:tc>
        <w:tc>
          <w:tcPr>
            <w:tcW w:w="9774" w:type="dxa"/>
          </w:tcPr>
          <w:p w14:paraId="00E25055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评标方法描述</w:t>
            </w:r>
          </w:p>
        </w:tc>
      </w:tr>
      <w:tr w14:paraId="4963C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vMerge w:val="restart"/>
            <w:vAlign w:val="center"/>
          </w:tcPr>
          <w:p w14:paraId="2DB69764">
            <w:pPr>
              <w:spacing w:line="40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项目</w:t>
            </w:r>
            <w:r>
              <w:rPr>
                <w:rFonts w:hint="eastAsia" w:ascii="宋体" w:hAnsi="宋体"/>
              </w:rPr>
              <w:t>经验（满分</w:t>
            </w:r>
            <w:r>
              <w:rPr>
                <w:rFonts w:hint="eastAsia" w:ascii="宋体" w:hAnsi="宋体"/>
                <w:lang w:val="en-US" w:eastAsia="zh-CN"/>
              </w:rPr>
              <w:t>21</w:t>
            </w:r>
            <w:r>
              <w:rPr>
                <w:rFonts w:hint="eastAsia" w:ascii="宋体" w:hAnsi="宋体"/>
              </w:rPr>
              <w:t>分）</w:t>
            </w:r>
          </w:p>
        </w:tc>
        <w:tc>
          <w:tcPr>
            <w:tcW w:w="1134" w:type="dxa"/>
            <w:vAlign w:val="center"/>
          </w:tcPr>
          <w:p w14:paraId="50DAB41F">
            <w:pPr>
              <w:jc w:val="center"/>
              <w:rPr>
                <w:rFonts w:ascii="宋体" w:hAnsi="宋体"/>
                <w:highlight w:val="none"/>
              </w:rPr>
            </w:pPr>
            <w:r>
              <w:rPr>
                <w:rFonts w:hint="eastAsia" w:ascii="宋体" w:hAnsi="宋体"/>
                <w:lang w:val="en-US" w:eastAsia="zh-CN"/>
              </w:rPr>
              <w:t>20</w:t>
            </w:r>
          </w:p>
        </w:tc>
        <w:tc>
          <w:tcPr>
            <w:tcW w:w="9774" w:type="dxa"/>
            <w:vAlign w:val="top"/>
          </w:tcPr>
          <w:p w14:paraId="713CED2D">
            <w:pPr>
              <w:spacing w:line="340" w:lineRule="exact"/>
              <w:rPr>
                <w:rFonts w:ascii="宋体" w:hAnsi="宋体"/>
                <w:highlight w:val="none"/>
              </w:rPr>
            </w:pPr>
            <w:r>
              <w:rPr>
                <w:rFonts w:hint="eastAsia" w:ascii="宋体" w:hAnsi="宋体" w:cs="宋体"/>
                <w:szCs w:val="21"/>
              </w:rPr>
              <w:t>根</w:t>
            </w:r>
            <w:r>
              <w:rPr>
                <w:rFonts w:ascii="宋体" w:hAnsi="宋体" w:cs="宋体"/>
                <w:szCs w:val="21"/>
              </w:rPr>
              <w:t>据项目的需求</w:t>
            </w:r>
            <w:r>
              <w:rPr>
                <w:rFonts w:hint="eastAsia" w:ascii="宋体" w:hAnsi="宋体" w:cs="宋体"/>
                <w:szCs w:val="21"/>
              </w:rPr>
              <w:t>与分析，投标人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提供思政类课件PPT样例设设、制作水平进行评分，PPT样例</w:t>
            </w:r>
            <w:r>
              <w:rPr>
                <w:rFonts w:hint="eastAsia" w:ascii="宋体" w:hAnsi="宋体" w:cs="宋体"/>
                <w:szCs w:val="21"/>
              </w:rPr>
              <w:t>内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容逻辑结构合理、重点突出，简洁大方、</w:t>
            </w:r>
            <w:r>
              <w:rPr>
                <w:rFonts w:hint="eastAsia" w:ascii="宋体" w:hAnsi="宋体" w:cs="宋体"/>
                <w:szCs w:val="21"/>
              </w:rPr>
              <w:t>配色合理，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交互体验感强的</w:t>
            </w:r>
            <w:r>
              <w:rPr>
                <w:rFonts w:hint="eastAsia" w:ascii="宋体" w:hAnsi="宋体" w:cs="宋体"/>
                <w:szCs w:val="21"/>
              </w:rPr>
              <w:t>得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 w:cs="宋体"/>
                <w:szCs w:val="21"/>
              </w:rPr>
              <w:t>分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；PPT样例</w:t>
            </w:r>
            <w:r>
              <w:rPr>
                <w:rFonts w:hint="eastAsia" w:ascii="宋体" w:hAnsi="宋体" w:cs="宋体"/>
                <w:szCs w:val="21"/>
              </w:rPr>
              <w:t>内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容逻辑比较结构合理、重点突出，</w:t>
            </w:r>
            <w:r>
              <w:rPr>
                <w:rFonts w:hint="eastAsia" w:ascii="宋体" w:hAnsi="宋体" w:cs="宋体"/>
                <w:szCs w:val="21"/>
              </w:rPr>
              <w:t>配色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较</w:t>
            </w:r>
            <w:r>
              <w:rPr>
                <w:rFonts w:hint="eastAsia" w:ascii="宋体" w:hAnsi="宋体" w:cs="宋体"/>
                <w:szCs w:val="21"/>
              </w:rPr>
              <w:t>合理，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交互体验感较好12</w:t>
            </w:r>
            <w:r>
              <w:rPr>
                <w:rFonts w:hint="eastAsia" w:ascii="宋体" w:hAnsi="宋体" w:cs="宋体"/>
                <w:szCs w:val="21"/>
              </w:rPr>
              <w:t>分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；PPT样例</w:t>
            </w:r>
            <w:r>
              <w:rPr>
                <w:rFonts w:hint="eastAsia" w:ascii="宋体" w:hAnsi="宋体" w:cs="宋体"/>
                <w:szCs w:val="21"/>
              </w:rPr>
              <w:t>内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容逻辑结构一搬、重点没有突出，</w:t>
            </w:r>
            <w:r>
              <w:rPr>
                <w:rFonts w:hint="eastAsia" w:ascii="宋体" w:hAnsi="宋体" w:cs="宋体"/>
                <w:szCs w:val="21"/>
              </w:rPr>
              <w:t>配色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较一搬</w:t>
            </w:r>
            <w:r>
              <w:rPr>
                <w:rFonts w:hint="eastAsia" w:ascii="宋体" w:hAnsi="宋体" w:cs="宋体"/>
                <w:szCs w:val="21"/>
              </w:rPr>
              <w:t>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交互体验感较差的</w:t>
            </w:r>
            <w:r>
              <w:rPr>
                <w:rFonts w:hint="eastAsia" w:ascii="宋体" w:hAnsi="宋体" w:cs="宋体"/>
                <w:szCs w:val="21"/>
              </w:rPr>
              <w:t>得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cs="宋体"/>
                <w:szCs w:val="21"/>
              </w:rPr>
              <w:t>分</w:t>
            </w:r>
            <w:r>
              <w:rPr>
                <w:rFonts w:hint="eastAsia" w:ascii="宋体" w:hAnsi="宋体" w:cs="宋体"/>
                <w:szCs w:val="21"/>
                <w:lang w:eastAsia="zh-CN"/>
              </w:rPr>
              <w:t>。</w:t>
            </w:r>
            <w:r>
              <w:rPr>
                <w:rFonts w:hint="eastAsia" w:ascii="宋体" w:hAnsi="宋体"/>
                <w:highlight w:val="none"/>
                <w:lang w:val="en-US" w:eastAsia="zh-CN"/>
              </w:rPr>
              <w:t>未提供的不得分</w:t>
            </w:r>
            <w:r>
              <w:rPr>
                <w:rFonts w:hint="eastAsia" w:ascii="宋体" w:hAnsi="宋体"/>
                <w:highlight w:val="none"/>
              </w:rPr>
              <w:t>。</w:t>
            </w:r>
          </w:p>
        </w:tc>
      </w:tr>
      <w:tr w14:paraId="0E83C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vAlign w:val="center"/>
          </w:tcPr>
          <w:p w14:paraId="7B41D7D7">
            <w:pPr>
              <w:spacing w:line="40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视频</w:t>
            </w:r>
            <w:r>
              <w:rPr>
                <w:rFonts w:hint="eastAsia" w:ascii="宋体" w:hAnsi="宋体"/>
              </w:rPr>
              <w:t>方案（满分</w:t>
            </w:r>
            <w:r>
              <w:rPr>
                <w:rFonts w:hint="eastAsia" w:ascii="宋体" w:hAnsi="宋体"/>
                <w:lang w:val="en-US" w:eastAsia="zh-CN"/>
              </w:rPr>
              <w:t>30</w:t>
            </w:r>
            <w:r>
              <w:rPr>
                <w:rFonts w:hint="eastAsia" w:ascii="宋体" w:hAnsi="宋体"/>
              </w:rPr>
              <w:t>分）</w:t>
            </w:r>
          </w:p>
        </w:tc>
        <w:tc>
          <w:tcPr>
            <w:tcW w:w="1134" w:type="dxa"/>
            <w:vAlign w:val="center"/>
          </w:tcPr>
          <w:p w14:paraId="28025482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30</w:t>
            </w:r>
          </w:p>
        </w:tc>
        <w:tc>
          <w:tcPr>
            <w:tcW w:w="9774" w:type="dxa"/>
          </w:tcPr>
          <w:p w14:paraId="7C70CD60">
            <w:pPr>
              <w:spacing w:line="340" w:lineRule="exact"/>
              <w:rPr>
                <w:rFonts w:ascii="宋体" w:hAnsi="宋体"/>
              </w:rPr>
            </w:pPr>
            <w:r>
              <w:rPr>
                <w:rFonts w:hint="eastAsia" w:ascii="宋体" w:hAnsi="宋体" w:cs="宋体"/>
                <w:szCs w:val="21"/>
              </w:rPr>
              <w:t>根</w:t>
            </w:r>
            <w:r>
              <w:rPr>
                <w:rFonts w:ascii="宋体" w:hAnsi="宋体" w:cs="宋体"/>
                <w:szCs w:val="21"/>
              </w:rPr>
              <w:t>据项目的需求</w:t>
            </w:r>
            <w:r>
              <w:rPr>
                <w:rFonts w:hint="eastAsia" w:ascii="宋体" w:hAnsi="宋体" w:cs="宋体"/>
                <w:szCs w:val="21"/>
              </w:rPr>
              <w:t>与分析，投标人制作项目实施</w:t>
            </w:r>
            <w:r>
              <w:rPr>
                <w:rFonts w:ascii="宋体" w:hAnsi="宋体" w:cs="宋体"/>
                <w:szCs w:val="21"/>
              </w:rPr>
              <w:t>方案</w:t>
            </w:r>
            <w:r>
              <w:rPr>
                <w:rFonts w:hint="eastAsia" w:ascii="宋体" w:hAnsi="宋体" w:cs="宋体"/>
                <w:szCs w:val="21"/>
              </w:rPr>
              <w:t>（</w:t>
            </w:r>
            <w:r>
              <w:rPr>
                <w:rFonts w:hint="eastAsia" w:ascii="宋体" w:hAnsi="宋体"/>
              </w:rPr>
              <w:t>包括不限于</w:t>
            </w:r>
            <w:r>
              <w:rPr>
                <w:rFonts w:hint="eastAsia" w:ascii="宋体" w:hAnsi="宋体" w:cs="宋体"/>
                <w:szCs w:val="21"/>
              </w:rPr>
              <w:t>人员配团置、进度按排等），</w:t>
            </w:r>
            <w:r>
              <w:rPr>
                <w:rFonts w:ascii="宋体" w:hAnsi="宋体" w:cs="宋体"/>
                <w:szCs w:val="21"/>
              </w:rPr>
              <w:t>进行横向评比后进行评分，</w:t>
            </w:r>
            <w:r>
              <w:rPr>
                <w:rFonts w:hint="eastAsia" w:ascii="宋体" w:hAnsi="宋体" w:cs="宋体"/>
                <w:szCs w:val="21"/>
              </w:rPr>
              <w:t>实施</w:t>
            </w:r>
            <w:r>
              <w:rPr>
                <w:rFonts w:ascii="宋体" w:hAnsi="宋体" w:cs="宋体"/>
                <w:szCs w:val="21"/>
              </w:rPr>
              <w:t>方案</w:t>
            </w:r>
            <w:r>
              <w:rPr>
                <w:rFonts w:hint="eastAsia" w:ascii="宋体" w:hAnsi="宋体" w:cs="宋体"/>
                <w:szCs w:val="21"/>
              </w:rPr>
              <w:t>清晰完整、符合实际需求、可执行性强的</w:t>
            </w:r>
            <w:r>
              <w:rPr>
                <w:rFonts w:ascii="宋体" w:hAnsi="宋体" w:cs="宋体"/>
                <w:szCs w:val="21"/>
              </w:rPr>
              <w:t>得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30</w:t>
            </w:r>
            <w:r>
              <w:rPr>
                <w:rFonts w:ascii="宋体" w:hAnsi="宋体" w:cs="宋体"/>
                <w:szCs w:val="21"/>
              </w:rPr>
              <w:t>分，</w:t>
            </w:r>
            <w:r>
              <w:rPr>
                <w:rFonts w:hint="eastAsia" w:ascii="宋体" w:hAnsi="宋体" w:cs="宋体"/>
                <w:szCs w:val="21"/>
              </w:rPr>
              <w:t>实施</w:t>
            </w:r>
            <w:r>
              <w:rPr>
                <w:rFonts w:ascii="宋体" w:hAnsi="宋体" w:cs="宋体"/>
                <w:szCs w:val="21"/>
              </w:rPr>
              <w:t>方案</w:t>
            </w:r>
            <w:r>
              <w:rPr>
                <w:rFonts w:hint="eastAsia" w:ascii="宋体" w:hAnsi="宋体" w:cs="宋体"/>
                <w:szCs w:val="21"/>
              </w:rPr>
              <w:t>比较完整、符合实际、可执行性的</w:t>
            </w:r>
            <w:r>
              <w:rPr>
                <w:rFonts w:ascii="宋体" w:hAnsi="宋体" w:cs="宋体"/>
                <w:szCs w:val="21"/>
              </w:rPr>
              <w:t>得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25</w:t>
            </w:r>
            <w:r>
              <w:rPr>
                <w:rFonts w:ascii="宋体" w:hAnsi="宋体" w:cs="宋体"/>
                <w:szCs w:val="21"/>
              </w:rPr>
              <w:t>分，</w:t>
            </w:r>
            <w:r>
              <w:rPr>
                <w:rFonts w:hint="eastAsia" w:ascii="宋体" w:hAnsi="宋体" w:cs="宋体"/>
                <w:szCs w:val="21"/>
              </w:rPr>
              <w:t>实施</w:t>
            </w:r>
            <w:r>
              <w:rPr>
                <w:rFonts w:ascii="宋体" w:hAnsi="宋体" w:cs="宋体"/>
                <w:szCs w:val="21"/>
              </w:rPr>
              <w:t>方案</w:t>
            </w:r>
            <w:r>
              <w:rPr>
                <w:rFonts w:hint="eastAsia" w:ascii="宋体" w:hAnsi="宋体" w:cs="宋体"/>
                <w:szCs w:val="21"/>
              </w:rPr>
              <w:t>一搬、不太符合需求、可执行性差的</w:t>
            </w:r>
            <w:r>
              <w:rPr>
                <w:rFonts w:ascii="宋体" w:hAnsi="宋体" w:cs="宋体"/>
                <w:szCs w:val="21"/>
              </w:rPr>
              <w:t>得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15</w:t>
            </w:r>
            <w:r>
              <w:rPr>
                <w:rFonts w:ascii="宋体" w:hAnsi="宋体" w:cs="宋体"/>
                <w:szCs w:val="21"/>
              </w:rPr>
              <w:t>分。未提供的不得分。</w:t>
            </w:r>
          </w:p>
        </w:tc>
      </w:tr>
      <w:tr w14:paraId="341900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vMerge w:val="restart"/>
            <w:vAlign w:val="center"/>
          </w:tcPr>
          <w:p w14:paraId="7077016D">
            <w:pPr>
              <w:spacing w:line="40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团队实力</w:t>
            </w:r>
            <w:r>
              <w:rPr>
                <w:rFonts w:hint="eastAsia" w:ascii="宋体" w:hAnsi="宋体"/>
              </w:rPr>
              <w:t>（满分</w:t>
            </w:r>
            <w:r>
              <w:rPr>
                <w:rFonts w:hint="eastAsia" w:ascii="宋体" w:hAnsi="宋体"/>
                <w:lang w:val="en-US" w:eastAsia="zh-CN"/>
              </w:rPr>
              <w:t>24</w:t>
            </w:r>
            <w:r>
              <w:rPr>
                <w:rFonts w:hint="eastAsia" w:ascii="宋体" w:hAnsi="宋体"/>
              </w:rPr>
              <w:t>分）</w:t>
            </w:r>
          </w:p>
        </w:tc>
        <w:tc>
          <w:tcPr>
            <w:tcW w:w="1134" w:type="dxa"/>
            <w:vAlign w:val="center"/>
          </w:tcPr>
          <w:p w14:paraId="207EA10B">
            <w:pPr>
              <w:jc w:val="center"/>
              <w:rPr>
                <w:rFonts w:hint="eastAsia" w:ascii="宋体" w:hAnsi="宋体" w:eastAsia="宋体"/>
                <w:highlight w:val="none"/>
                <w:lang w:eastAsia="zh-CN"/>
              </w:rPr>
            </w:pPr>
            <w:r>
              <w:rPr>
                <w:rFonts w:hint="eastAsia" w:ascii="宋体" w:hAnsi="宋体"/>
                <w:highlight w:val="none"/>
                <w:lang w:val="en-US" w:eastAsia="zh-CN"/>
              </w:rPr>
              <w:t>8</w:t>
            </w:r>
          </w:p>
        </w:tc>
        <w:tc>
          <w:tcPr>
            <w:tcW w:w="9774" w:type="dxa"/>
          </w:tcPr>
          <w:p w14:paraId="34F4F2F2">
            <w:pPr>
              <w:spacing w:line="340" w:lineRule="exact"/>
              <w:rPr>
                <w:rFonts w:ascii="宋体" w:hAnsi="宋体"/>
                <w:highlight w:val="none"/>
              </w:rPr>
            </w:pPr>
            <w:r>
              <w:rPr>
                <w:rFonts w:hint="eastAsia" w:ascii="宋体" w:hAnsi="宋体"/>
                <w:highlight w:val="none"/>
              </w:rPr>
              <w:t>根据各供应商拟投入本项目配备的项目团队中有</w:t>
            </w:r>
            <w:r>
              <w:rPr>
                <w:rFonts w:hint="eastAsia" w:ascii="宋体" w:hAnsi="宋体"/>
                <w:highlight w:val="none"/>
                <w:lang w:val="en-US" w:eastAsia="zh-CN"/>
              </w:rPr>
              <w:t>1名</w:t>
            </w:r>
            <w:r>
              <w:rPr>
                <w:rFonts w:hint="eastAsia" w:ascii="宋体" w:hAnsi="宋体"/>
                <w:highlight w:val="none"/>
              </w:rPr>
              <w:t>人员执有广播电视编导相关专业本科及以上毕业证书的得</w:t>
            </w:r>
            <w:r>
              <w:rPr>
                <w:rFonts w:hint="eastAsia" w:ascii="宋体" w:hAnsi="宋体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/>
                <w:highlight w:val="none"/>
              </w:rPr>
              <w:t>分</w:t>
            </w:r>
            <w:r>
              <w:rPr>
                <w:rFonts w:hint="eastAsia" w:ascii="宋体" w:hAnsi="宋体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/>
                <w:highlight w:val="none"/>
                <w:lang w:val="en-US" w:eastAsia="zh-CN"/>
              </w:rPr>
              <w:t>未提供的不得分</w:t>
            </w:r>
            <w:r>
              <w:rPr>
                <w:rFonts w:hint="eastAsia" w:ascii="宋体" w:hAnsi="宋体"/>
                <w:highlight w:val="none"/>
              </w:rPr>
              <w:t>。需投标人须提供相关</w:t>
            </w:r>
            <w:r>
              <w:rPr>
                <w:rFonts w:hint="eastAsia" w:ascii="宋体" w:hAnsi="宋体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/>
                <w:highlight w:val="none"/>
              </w:rPr>
              <w:t>人员的身份证复印件、学历证复印件的证明材料复印件。</w:t>
            </w:r>
          </w:p>
        </w:tc>
      </w:tr>
      <w:tr w14:paraId="5304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vMerge w:val="continue"/>
            <w:vAlign w:val="center"/>
          </w:tcPr>
          <w:p w14:paraId="6EA03CA0">
            <w:pPr>
              <w:spacing w:line="400" w:lineRule="exact"/>
              <w:rPr>
                <w:rFonts w:ascii="宋体" w:hAnsi="宋体"/>
              </w:rPr>
            </w:pPr>
          </w:p>
        </w:tc>
        <w:tc>
          <w:tcPr>
            <w:tcW w:w="1134" w:type="dxa"/>
            <w:vAlign w:val="center"/>
          </w:tcPr>
          <w:p w14:paraId="1442B89E">
            <w:pPr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</w:rPr>
              <w:t>1</w:t>
            </w:r>
            <w:r>
              <w:rPr>
                <w:rFonts w:hint="eastAsia" w:ascii="宋体" w:hAnsi="宋体"/>
                <w:lang w:val="en-US" w:eastAsia="zh-CN"/>
              </w:rPr>
              <w:t>5</w:t>
            </w:r>
          </w:p>
        </w:tc>
        <w:tc>
          <w:tcPr>
            <w:tcW w:w="9774" w:type="dxa"/>
          </w:tcPr>
          <w:p w14:paraId="5EB14DDA">
            <w:pPr>
              <w:spacing w:line="340" w:lineRule="exact"/>
              <w:rPr>
                <w:rFonts w:ascii="宋体" w:hAnsi="宋体"/>
              </w:rPr>
            </w:pPr>
            <w:r>
              <w:rPr>
                <w:rFonts w:hint="eastAsia" w:ascii="宋体" w:hAnsi="宋体" w:cs="宋体"/>
                <w:szCs w:val="21"/>
              </w:rPr>
              <w:t>投标人提供的视频内容审核系统，支持对视频内容审核和素材文本、图片、视频等内容（如涉政、涉黄、涉恐、涉爆等内容）不适合网络传播的审核服务，投标人提供项目策划文案的基础信息、内容数量统计分析、项目策划文案内容审核报告、项目策划文案健康度统计分析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、风险分布统计分析、查看风险资源详情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内容审核报告</w:t>
            </w: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提供清晰系统功能截图并加盖公章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的得1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分。</w:t>
            </w:r>
            <w:r>
              <w:rPr>
                <w:rFonts w:hint="eastAsia" w:ascii="宋体" w:hAnsi="宋体" w:cs="宋体"/>
                <w:szCs w:val="21"/>
              </w:rPr>
              <w:t>未提供或提供内容不清晰、不完整的不得分。</w:t>
            </w:r>
          </w:p>
        </w:tc>
      </w:tr>
      <w:tr w14:paraId="69CCE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vAlign w:val="center"/>
          </w:tcPr>
          <w:p w14:paraId="53A38CF7">
            <w:pPr>
              <w:spacing w:line="40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售后服务方案（满分10分）</w:t>
            </w:r>
          </w:p>
        </w:tc>
        <w:tc>
          <w:tcPr>
            <w:tcW w:w="1134" w:type="dxa"/>
            <w:vAlign w:val="center"/>
          </w:tcPr>
          <w:p w14:paraId="4463CB7A">
            <w:pPr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/>
              </w:rPr>
              <w:t>1</w:t>
            </w: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9774" w:type="dxa"/>
          </w:tcPr>
          <w:p w14:paraId="4381E8CD">
            <w:pPr>
              <w:spacing w:line="340" w:lineRule="exact"/>
              <w:rPr>
                <w:rFonts w:ascii="宋体" w:hAnsi="宋体"/>
              </w:rPr>
            </w:pPr>
            <w:r>
              <w:rPr>
                <w:rFonts w:ascii="宋体" w:hAnsi="宋体" w:cs="宋体"/>
                <w:szCs w:val="21"/>
              </w:rPr>
              <w:t>投标人根据项目采购要求，提供详细的售后服方案，包括售后服务机构的人员、服务能力、响应时间等，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完全符合</w:t>
            </w:r>
            <w:r>
              <w:rPr>
                <w:rFonts w:ascii="宋体" w:hAnsi="宋体" w:cs="宋体"/>
                <w:szCs w:val="21"/>
              </w:rPr>
              <w:t>得</w:t>
            </w:r>
            <w:r>
              <w:rPr>
                <w:rFonts w:hint="eastAsia" w:ascii="宋体" w:hAnsi="宋体" w:cs="宋体"/>
                <w:szCs w:val="21"/>
              </w:rPr>
              <w:t>1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2</w:t>
            </w:r>
            <w:r>
              <w:rPr>
                <w:rFonts w:ascii="宋体" w:hAnsi="宋体" w:cs="宋体"/>
                <w:szCs w:val="21"/>
              </w:rPr>
              <w:t>分，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基本符合</w:t>
            </w:r>
            <w:r>
              <w:rPr>
                <w:rFonts w:ascii="宋体" w:hAnsi="宋体" w:cs="宋体"/>
                <w:szCs w:val="21"/>
              </w:rPr>
              <w:t>得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8</w:t>
            </w:r>
            <w:r>
              <w:rPr>
                <w:rFonts w:ascii="宋体" w:hAnsi="宋体" w:cs="宋体"/>
                <w:szCs w:val="21"/>
              </w:rPr>
              <w:t>分，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一般符合</w:t>
            </w:r>
            <w:r>
              <w:rPr>
                <w:rFonts w:ascii="宋体" w:hAnsi="宋体" w:cs="宋体"/>
                <w:szCs w:val="21"/>
              </w:rPr>
              <w:t>得</w:t>
            </w:r>
            <w:r>
              <w:rPr>
                <w:rFonts w:hint="eastAsia" w:ascii="宋体" w:hAnsi="宋体" w:cs="宋体"/>
                <w:szCs w:val="21"/>
                <w:lang w:val="en-US" w:eastAsia="zh-CN"/>
              </w:rPr>
              <w:t>4</w:t>
            </w:r>
            <w:r>
              <w:rPr>
                <w:rFonts w:ascii="宋体" w:hAnsi="宋体" w:cs="宋体"/>
                <w:szCs w:val="21"/>
              </w:rPr>
              <w:t>分</w:t>
            </w:r>
            <w:r>
              <w:rPr>
                <w:rFonts w:hint="eastAsia" w:ascii="宋体" w:hAnsi="宋体" w:cs="宋体"/>
                <w:szCs w:val="21"/>
              </w:rPr>
              <w:t>，</w:t>
            </w:r>
            <w:r>
              <w:rPr>
                <w:rFonts w:ascii="宋体" w:hAnsi="宋体" w:cs="宋体"/>
                <w:szCs w:val="21"/>
              </w:rPr>
              <w:t>未提供不得分。</w:t>
            </w:r>
          </w:p>
        </w:tc>
      </w:tr>
      <w:tr w14:paraId="1916A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vAlign w:val="center"/>
          </w:tcPr>
          <w:p w14:paraId="70A8AEF3">
            <w:pPr>
              <w:spacing w:line="40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报价评分（满分15分）</w:t>
            </w:r>
          </w:p>
        </w:tc>
        <w:tc>
          <w:tcPr>
            <w:tcW w:w="1134" w:type="dxa"/>
            <w:vAlign w:val="center"/>
          </w:tcPr>
          <w:p w14:paraId="124C898E"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15</w:t>
            </w:r>
          </w:p>
        </w:tc>
        <w:tc>
          <w:tcPr>
            <w:tcW w:w="9774" w:type="dxa"/>
          </w:tcPr>
          <w:p w14:paraId="1D45C802">
            <w:pPr>
              <w:spacing w:line="340" w:lineRule="exact"/>
              <w:rPr>
                <w:rFonts w:ascii="宋体" w:hAnsi="宋体"/>
              </w:rPr>
            </w:pPr>
            <w:r>
              <w:rPr>
                <w:rFonts w:ascii="宋体" w:hAnsi="宋体"/>
              </w:rPr>
              <w:t>价格分采用低价优先计算，即满足报价文件要求且价格最低的报价为评标基准价（最低报价不是成交的唯一依据）。投标报价得分＝（评标基准价/投标报价）×价格分值。</w:t>
            </w:r>
          </w:p>
        </w:tc>
      </w:tr>
    </w:tbl>
    <w:p w14:paraId="1CCAC465">
      <w:pPr>
        <w:rPr>
          <w:rFonts w:ascii="宋体" w:hAnsi="宋体"/>
        </w:rPr>
      </w:pPr>
    </w:p>
    <w:sectPr>
      <w:pgSz w:w="16838" w:h="11906" w:orient="landscape"/>
      <w:pgMar w:top="1588" w:right="2098" w:bottom="1474" w:left="1984" w:header="851" w:footer="992" w:gutter="0"/>
      <w:cols w:space="0" w:num="1"/>
      <w:docGrid w:type="lines" w:linePitch="57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7F" w:usb3="00000000" w:csb0="203F01FF" w:csb1="D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B7D85C"/>
    <w:multiLevelType w:val="singleLevel"/>
    <w:tmpl w:val="66B7D85C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498"/>
    <w:rsid w:val="00015B7D"/>
    <w:rsid w:val="000247A1"/>
    <w:rsid w:val="00036020"/>
    <w:rsid w:val="00036798"/>
    <w:rsid w:val="00064EEC"/>
    <w:rsid w:val="00072C64"/>
    <w:rsid w:val="000747D1"/>
    <w:rsid w:val="00074F60"/>
    <w:rsid w:val="000818BC"/>
    <w:rsid w:val="0009146D"/>
    <w:rsid w:val="0009461D"/>
    <w:rsid w:val="0009591A"/>
    <w:rsid w:val="00096C15"/>
    <w:rsid w:val="00097B76"/>
    <w:rsid w:val="000B24C9"/>
    <w:rsid w:val="000B6C47"/>
    <w:rsid w:val="000D7457"/>
    <w:rsid w:val="000E5593"/>
    <w:rsid w:val="00117C1F"/>
    <w:rsid w:val="00125E11"/>
    <w:rsid w:val="00172E78"/>
    <w:rsid w:val="00175A2E"/>
    <w:rsid w:val="0018740B"/>
    <w:rsid w:val="001938B4"/>
    <w:rsid w:val="001A21FD"/>
    <w:rsid w:val="001B62D7"/>
    <w:rsid w:val="001B6688"/>
    <w:rsid w:val="001D72A0"/>
    <w:rsid w:val="001E57E0"/>
    <w:rsid w:val="00207106"/>
    <w:rsid w:val="00210F83"/>
    <w:rsid w:val="002152F2"/>
    <w:rsid w:val="0021690F"/>
    <w:rsid w:val="00223A47"/>
    <w:rsid w:val="00232240"/>
    <w:rsid w:val="002961FF"/>
    <w:rsid w:val="002A35AD"/>
    <w:rsid w:val="002A4429"/>
    <w:rsid w:val="002C42E1"/>
    <w:rsid w:val="002D6C99"/>
    <w:rsid w:val="002E78B2"/>
    <w:rsid w:val="003008B3"/>
    <w:rsid w:val="00326290"/>
    <w:rsid w:val="00340692"/>
    <w:rsid w:val="003818DC"/>
    <w:rsid w:val="00387D2D"/>
    <w:rsid w:val="00394498"/>
    <w:rsid w:val="003C6F17"/>
    <w:rsid w:val="003D52B6"/>
    <w:rsid w:val="003F3B3C"/>
    <w:rsid w:val="0043322B"/>
    <w:rsid w:val="00443C90"/>
    <w:rsid w:val="00450436"/>
    <w:rsid w:val="0046647A"/>
    <w:rsid w:val="00467E08"/>
    <w:rsid w:val="00480539"/>
    <w:rsid w:val="00493964"/>
    <w:rsid w:val="004A4CED"/>
    <w:rsid w:val="004C24EC"/>
    <w:rsid w:val="004E2A09"/>
    <w:rsid w:val="004E3CAF"/>
    <w:rsid w:val="00505B1E"/>
    <w:rsid w:val="0059551B"/>
    <w:rsid w:val="005B0B59"/>
    <w:rsid w:val="005C5D81"/>
    <w:rsid w:val="00636A70"/>
    <w:rsid w:val="006A4B14"/>
    <w:rsid w:val="006A4B9F"/>
    <w:rsid w:val="006A5BC0"/>
    <w:rsid w:val="006E6B3C"/>
    <w:rsid w:val="007079D0"/>
    <w:rsid w:val="00712B56"/>
    <w:rsid w:val="007151DB"/>
    <w:rsid w:val="0072258A"/>
    <w:rsid w:val="00770C85"/>
    <w:rsid w:val="00771190"/>
    <w:rsid w:val="0077622C"/>
    <w:rsid w:val="00796EBF"/>
    <w:rsid w:val="007B0FA7"/>
    <w:rsid w:val="007C0401"/>
    <w:rsid w:val="007F3296"/>
    <w:rsid w:val="00810350"/>
    <w:rsid w:val="0081638C"/>
    <w:rsid w:val="008425B4"/>
    <w:rsid w:val="00865DB3"/>
    <w:rsid w:val="00875641"/>
    <w:rsid w:val="008857A0"/>
    <w:rsid w:val="00886F42"/>
    <w:rsid w:val="00897EF7"/>
    <w:rsid w:val="008C499D"/>
    <w:rsid w:val="008C5EB9"/>
    <w:rsid w:val="008C7550"/>
    <w:rsid w:val="008E2087"/>
    <w:rsid w:val="008E69CC"/>
    <w:rsid w:val="008F3157"/>
    <w:rsid w:val="008F54CD"/>
    <w:rsid w:val="00903E61"/>
    <w:rsid w:val="00904A13"/>
    <w:rsid w:val="009157B3"/>
    <w:rsid w:val="00941971"/>
    <w:rsid w:val="0094369D"/>
    <w:rsid w:val="00976C42"/>
    <w:rsid w:val="009C155D"/>
    <w:rsid w:val="009C4148"/>
    <w:rsid w:val="009E68E6"/>
    <w:rsid w:val="00A03BDA"/>
    <w:rsid w:val="00A06045"/>
    <w:rsid w:val="00A3113A"/>
    <w:rsid w:val="00A32FCB"/>
    <w:rsid w:val="00A35F34"/>
    <w:rsid w:val="00A3708E"/>
    <w:rsid w:val="00A517EE"/>
    <w:rsid w:val="00AD0421"/>
    <w:rsid w:val="00AD0467"/>
    <w:rsid w:val="00AF2CFC"/>
    <w:rsid w:val="00B04554"/>
    <w:rsid w:val="00B10EC8"/>
    <w:rsid w:val="00B1127C"/>
    <w:rsid w:val="00B15B4C"/>
    <w:rsid w:val="00B20174"/>
    <w:rsid w:val="00B21D5A"/>
    <w:rsid w:val="00B23631"/>
    <w:rsid w:val="00B278EF"/>
    <w:rsid w:val="00B339A4"/>
    <w:rsid w:val="00B52621"/>
    <w:rsid w:val="00B546EF"/>
    <w:rsid w:val="00B812DF"/>
    <w:rsid w:val="00B97A7F"/>
    <w:rsid w:val="00BA67FC"/>
    <w:rsid w:val="00BE032C"/>
    <w:rsid w:val="00BE68C5"/>
    <w:rsid w:val="00C0132E"/>
    <w:rsid w:val="00C01D24"/>
    <w:rsid w:val="00C52253"/>
    <w:rsid w:val="00C56489"/>
    <w:rsid w:val="00C62815"/>
    <w:rsid w:val="00C80C26"/>
    <w:rsid w:val="00C84B74"/>
    <w:rsid w:val="00C85BB6"/>
    <w:rsid w:val="00C907C4"/>
    <w:rsid w:val="00C96396"/>
    <w:rsid w:val="00CA401E"/>
    <w:rsid w:val="00CA7F8C"/>
    <w:rsid w:val="00CB0A7D"/>
    <w:rsid w:val="00CC2E9B"/>
    <w:rsid w:val="00CD7E69"/>
    <w:rsid w:val="00CF40E7"/>
    <w:rsid w:val="00CF4B4F"/>
    <w:rsid w:val="00CF6538"/>
    <w:rsid w:val="00D02D40"/>
    <w:rsid w:val="00D229A3"/>
    <w:rsid w:val="00D40DC8"/>
    <w:rsid w:val="00D53329"/>
    <w:rsid w:val="00D86A41"/>
    <w:rsid w:val="00D9640E"/>
    <w:rsid w:val="00DA2CD5"/>
    <w:rsid w:val="00DA5B1C"/>
    <w:rsid w:val="00DB0D2A"/>
    <w:rsid w:val="00DB1633"/>
    <w:rsid w:val="00DB2139"/>
    <w:rsid w:val="00DC031D"/>
    <w:rsid w:val="00DD6F4C"/>
    <w:rsid w:val="00E00D1F"/>
    <w:rsid w:val="00E2005E"/>
    <w:rsid w:val="00E32151"/>
    <w:rsid w:val="00E40379"/>
    <w:rsid w:val="00E41DA2"/>
    <w:rsid w:val="00E566DA"/>
    <w:rsid w:val="00E60B32"/>
    <w:rsid w:val="00E63C64"/>
    <w:rsid w:val="00E71B9F"/>
    <w:rsid w:val="00E839E0"/>
    <w:rsid w:val="00ED0B53"/>
    <w:rsid w:val="00EE12CE"/>
    <w:rsid w:val="00F218DB"/>
    <w:rsid w:val="00F309B3"/>
    <w:rsid w:val="00F31913"/>
    <w:rsid w:val="00F323D3"/>
    <w:rsid w:val="00F75962"/>
    <w:rsid w:val="00FA1880"/>
    <w:rsid w:val="00FB5B62"/>
    <w:rsid w:val="00FB7042"/>
    <w:rsid w:val="00FD01EE"/>
    <w:rsid w:val="00FF1F6A"/>
    <w:rsid w:val="013E61E2"/>
    <w:rsid w:val="025351B5"/>
    <w:rsid w:val="046B02D6"/>
    <w:rsid w:val="046C4C5D"/>
    <w:rsid w:val="05304B47"/>
    <w:rsid w:val="05B42E29"/>
    <w:rsid w:val="064E0953"/>
    <w:rsid w:val="086504F8"/>
    <w:rsid w:val="09AC0DF5"/>
    <w:rsid w:val="0A8F5D00"/>
    <w:rsid w:val="0D4B44DB"/>
    <w:rsid w:val="0D501777"/>
    <w:rsid w:val="0DE340ED"/>
    <w:rsid w:val="0E8C4A31"/>
    <w:rsid w:val="0EE35047"/>
    <w:rsid w:val="0FAB3072"/>
    <w:rsid w:val="10F20D97"/>
    <w:rsid w:val="13CA1B57"/>
    <w:rsid w:val="14BE790E"/>
    <w:rsid w:val="1CAB0C5A"/>
    <w:rsid w:val="1D507A85"/>
    <w:rsid w:val="1ECF44C6"/>
    <w:rsid w:val="1F3F33F9"/>
    <w:rsid w:val="20AE14A1"/>
    <w:rsid w:val="21291A25"/>
    <w:rsid w:val="233C2EE1"/>
    <w:rsid w:val="288B39BB"/>
    <w:rsid w:val="28B1108E"/>
    <w:rsid w:val="293A5646"/>
    <w:rsid w:val="2A480E55"/>
    <w:rsid w:val="2B08148B"/>
    <w:rsid w:val="2DCF69BE"/>
    <w:rsid w:val="2E8D4DE6"/>
    <w:rsid w:val="2FC814F7"/>
    <w:rsid w:val="302F3016"/>
    <w:rsid w:val="304F36B8"/>
    <w:rsid w:val="305B3E0B"/>
    <w:rsid w:val="33711509"/>
    <w:rsid w:val="339E27BB"/>
    <w:rsid w:val="35542121"/>
    <w:rsid w:val="35727C2D"/>
    <w:rsid w:val="3716324E"/>
    <w:rsid w:val="372431A9"/>
    <w:rsid w:val="380D00E1"/>
    <w:rsid w:val="39D5007E"/>
    <w:rsid w:val="3D2057BC"/>
    <w:rsid w:val="3DAB4624"/>
    <w:rsid w:val="3E4D44A3"/>
    <w:rsid w:val="3F5A6A82"/>
    <w:rsid w:val="408234E1"/>
    <w:rsid w:val="40827192"/>
    <w:rsid w:val="40A87138"/>
    <w:rsid w:val="40ED34A3"/>
    <w:rsid w:val="41DA7286"/>
    <w:rsid w:val="440B4218"/>
    <w:rsid w:val="46D06D98"/>
    <w:rsid w:val="47632791"/>
    <w:rsid w:val="491F1A22"/>
    <w:rsid w:val="49417976"/>
    <w:rsid w:val="49DA57B7"/>
    <w:rsid w:val="4C955487"/>
    <w:rsid w:val="4CF957D5"/>
    <w:rsid w:val="4D987CD5"/>
    <w:rsid w:val="51F95E34"/>
    <w:rsid w:val="52406F57"/>
    <w:rsid w:val="54606C28"/>
    <w:rsid w:val="54A44DCE"/>
    <w:rsid w:val="55083CB2"/>
    <w:rsid w:val="575C2093"/>
    <w:rsid w:val="579C61BD"/>
    <w:rsid w:val="57DC63E9"/>
    <w:rsid w:val="5AE1279E"/>
    <w:rsid w:val="5B866020"/>
    <w:rsid w:val="5CB62246"/>
    <w:rsid w:val="5E227DCC"/>
    <w:rsid w:val="5F241F10"/>
    <w:rsid w:val="5FC8747F"/>
    <w:rsid w:val="600F4E57"/>
    <w:rsid w:val="62680C29"/>
    <w:rsid w:val="63C445C8"/>
    <w:rsid w:val="64354D20"/>
    <w:rsid w:val="656A65F3"/>
    <w:rsid w:val="657405ED"/>
    <w:rsid w:val="65F21D37"/>
    <w:rsid w:val="66540B05"/>
    <w:rsid w:val="66D72B5D"/>
    <w:rsid w:val="66E95A5F"/>
    <w:rsid w:val="68894D1A"/>
    <w:rsid w:val="68B03FED"/>
    <w:rsid w:val="68CD2DF1"/>
    <w:rsid w:val="6AB72FDA"/>
    <w:rsid w:val="6C40252E"/>
    <w:rsid w:val="6D20709E"/>
    <w:rsid w:val="6E7E6481"/>
    <w:rsid w:val="6F4F630E"/>
    <w:rsid w:val="709337B6"/>
    <w:rsid w:val="70F140CA"/>
    <w:rsid w:val="71677399"/>
    <w:rsid w:val="738F7112"/>
    <w:rsid w:val="73F25EE1"/>
    <w:rsid w:val="74384810"/>
    <w:rsid w:val="75D752AF"/>
    <w:rsid w:val="763E4B21"/>
    <w:rsid w:val="76B15C94"/>
    <w:rsid w:val="77C856C0"/>
    <w:rsid w:val="78192EA7"/>
    <w:rsid w:val="783165FE"/>
    <w:rsid w:val="790C4E45"/>
    <w:rsid w:val="7BFB4120"/>
    <w:rsid w:val="7CAA1027"/>
    <w:rsid w:val="7E7C169F"/>
    <w:rsid w:val="7ED63ACF"/>
    <w:rsid w:val="7F1B7FBA"/>
    <w:rsid w:val="7F9A2B41"/>
    <w:rsid w:val="7FE7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0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27"/>
    <w:unhideWhenUsed/>
    <w:qFormat/>
    <w:uiPriority w:val="0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28"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9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asciiTheme="minorHAnsi" w:hAnsiTheme="minorHAnsi" w:eastAsiaTheme="minorEastAsia"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30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asciiTheme="minorHAnsi" w:hAnsiTheme="minorHAnsi" w:eastAsiaTheme="minorEastAsia" w:cstheme="majorBidi"/>
      <w:color w:val="104862" w:themeColor="accent1" w:themeShade="BF"/>
      <w:sz w:val="24"/>
      <w14:ligatures w14:val="standardContextual"/>
    </w:rPr>
  </w:style>
  <w:style w:type="paragraph" w:styleId="7">
    <w:name w:val="heading 6"/>
    <w:basedOn w:val="1"/>
    <w:next w:val="1"/>
    <w:link w:val="31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asciiTheme="minorHAnsi" w:hAnsiTheme="minorHAnsi" w:eastAsiaTheme="minorEastAsia" w:cstheme="majorBidi"/>
      <w:b/>
      <w:bCs/>
      <w:color w:val="104862" w:themeColor="accent1" w:themeShade="BF"/>
      <w:sz w:val="22"/>
      <w14:ligatures w14:val="standardContextual"/>
    </w:rPr>
  </w:style>
  <w:style w:type="paragraph" w:styleId="8">
    <w:name w:val="heading 7"/>
    <w:basedOn w:val="1"/>
    <w:next w:val="1"/>
    <w:link w:val="32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asciiTheme="minorHAnsi" w:hAnsiTheme="minorHAnsi" w:eastAsiaTheme="minorEastAsia"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33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asciiTheme="minorHAnsi" w:hAnsiTheme="minorHAnsi" w:eastAsiaTheme="min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34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asciiTheme="minorHAnsi" w:hAnsiTheme="minorHAnsi"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24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next w:val="12"/>
    <w:link w:val="46"/>
    <w:qFormat/>
    <w:uiPriority w:val="0"/>
    <w:pPr>
      <w:ind w:firstLine="420" w:firstLineChars="200"/>
    </w:pPr>
  </w:style>
  <w:style w:type="paragraph" w:styleId="12">
    <w:name w:val="header"/>
    <w:basedOn w:val="1"/>
    <w:link w:val="44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3">
    <w:name w:val="annotation text"/>
    <w:basedOn w:val="1"/>
    <w:link w:val="51"/>
    <w:semiHidden/>
    <w:unhideWhenUsed/>
    <w:qFormat/>
    <w:uiPriority w:val="99"/>
    <w:pPr>
      <w:jc w:val="left"/>
    </w:pPr>
  </w:style>
  <w:style w:type="paragraph" w:styleId="14">
    <w:name w:val="Body Text"/>
    <w:basedOn w:val="1"/>
    <w:qFormat/>
    <w:uiPriority w:val="0"/>
    <w:pPr>
      <w:autoSpaceDE w:val="0"/>
      <w:autoSpaceDN w:val="0"/>
    </w:pPr>
  </w:style>
  <w:style w:type="paragraph" w:styleId="15">
    <w:name w:val="Plain Text"/>
    <w:basedOn w:val="1"/>
    <w:qFormat/>
    <w:uiPriority w:val="0"/>
    <w:pPr>
      <w:adjustRightInd w:val="0"/>
      <w:spacing w:line="360" w:lineRule="atLeast"/>
      <w:textAlignment w:val="baseline"/>
    </w:pPr>
    <w:rPr>
      <w:rFonts w:ascii="宋体" w:hAnsi="Courier New"/>
      <w:kern w:val="0"/>
      <w:szCs w:val="20"/>
    </w:rPr>
  </w:style>
  <w:style w:type="paragraph" w:styleId="16">
    <w:name w:val="Balloon Text"/>
    <w:basedOn w:val="1"/>
    <w:link w:val="53"/>
    <w:semiHidden/>
    <w:unhideWhenUsed/>
    <w:qFormat/>
    <w:uiPriority w:val="99"/>
    <w:rPr>
      <w:sz w:val="18"/>
      <w:szCs w:val="18"/>
    </w:rPr>
  </w:style>
  <w:style w:type="paragraph" w:styleId="17">
    <w:name w:val="footer"/>
    <w:basedOn w:val="1"/>
    <w:link w:val="45"/>
    <w:unhideWhenUsed/>
    <w:qFormat/>
    <w:uiPriority w:val="99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hAnsiTheme="minorHAnsi" w:eastAsiaTheme="minorEastAsia" w:cstheme="minorBidi"/>
      <w:sz w:val="18"/>
      <w:szCs w:val="18"/>
      <w14:ligatures w14:val="standardContextual"/>
    </w:rPr>
  </w:style>
  <w:style w:type="paragraph" w:styleId="18">
    <w:name w:val="Subtitle"/>
    <w:basedOn w:val="1"/>
    <w:next w:val="1"/>
    <w:link w:val="36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9">
    <w:name w:val="Normal (Web)"/>
    <w:basedOn w:val="1"/>
    <w:link w:val="47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/>
      <w:kern w:val="0"/>
      <w:sz w:val="24"/>
    </w:rPr>
  </w:style>
  <w:style w:type="paragraph" w:styleId="20">
    <w:name w:val="Title"/>
    <w:basedOn w:val="1"/>
    <w:next w:val="1"/>
    <w:link w:val="35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paragraph" w:styleId="21">
    <w:name w:val="annotation subject"/>
    <w:basedOn w:val="13"/>
    <w:next w:val="13"/>
    <w:link w:val="52"/>
    <w:semiHidden/>
    <w:unhideWhenUsed/>
    <w:qFormat/>
    <w:uiPriority w:val="99"/>
    <w:rPr>
      <w:b/>
      <w:bCs/>
    </w:rPr>
  </w:style>
  <w:style w:type="table" w:styleId="23">
    <w:name w:val="Table Grid"/>
    <w:basedOn w:val="2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annotation reference"/>
    <w:basedOn w:val="24"/>
    <w:semiHidden/>
    <w:unhideWhenUsed/>
    <w:qFormat/>
    <w:uiPriority w:val="99"/>
    <w:rPr>
      <w:sz w:val="21"/>
      <w:szCs w:val="21"/>
    </w:rPr>
  </w:style>
  <w:style w:type="character" w:customStyle="1" w:styleId="26">
    <w:name w:val="标题 1 字符"/>
    <w:basedOn w:val="24"/>
    <w:link w:val="2"/>
    <w:qFormat/>
    <w:uiPriority w:val="0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7">
    <w:name w:val="标题 2 字符"/>
    <w:basedOn w:val="24"/>
    <w:link w:val="3"/>
    <w:qFormat/>
    <w:uiPriority w:val="0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8">
    <w:name w:val="标题 3 字符"/>
    <w:basedOn w:val="24"/>
    <w:link w:val="4"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9">
    <w:name w:val="标题 4 字符"/>
    <w:basedOn w:val="2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30">
    <w:name w:val="标题 5 字符"/>
    <w:basedOn w:val="2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31">
    <w:name w:val="标题 6 字符"/>
    <w:basedOn w:val="2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32">
    <w:name w:val="标题 7 字符"/>
    <w:basedOn w:val="2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3">
    <w:name w:val="标题 8 字符"/>
    <w:basedOn w:val="2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4">
    <w:name w:val="标题 9 字符"/>
    <w:basedOn w:val="2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5">
    <w:name w:val="标题 字符"/>
    <w:basedOn w:val="24"/>
    <w:link w:val="20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6">
    <w:name w:val="副标题 字符"/>
    <w:basedOn w:val="24"/>
    <w:link w:val="18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7">
    <w:name w:val="Quote"/>
    <w:basedOn w:val="1"/>
    <w:next w:val="1"/>
    <w:link w:val="38"/>
    <w:qFormat/>
    <w:uiPriority w:val="29"/>
    <w:pPr>
      <w:spacing w:before="160" w:after="160" w:line="278" w:lineRule="auto"/>
      <w:jc w:val="center"/>
    </w:pPr>
    <w:rPr>
      <w:rFonts w:asciiTheme="minorHAnsi" w:hAnsiTheme="minorHAnsi" w:eastAsiaTheme="minorEastAsia" w:cstheme="minorBidi"/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8">
    <w:name w:val="引用 字符"/>
    <w:basedOn w:val="24"/>
    <w:link w:val="3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9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rFonts w:asciiTheme="minorHAnsi" w:hAnsiTheme="minorHAnsi" w:eastAsiaTheme="minorEastAsia" w:cstheme="minorBidi"/>
      <w:sz w:val="22"/>
      <w14:ligatures w14:val="standardContextual"/>
    </w:rPr>
  </w:style>
  <w:style w:type="character" w:customStyle="1" w:styleId="40">
    <w:name w:val="明显强调1"/>
    <w:basedOn w:val="24"/>
    <w:qFormat/>
    <w:uiPriority w:val="21"/>
    <w:rPr>
      <w:i/>
      <w:iCs/>
      <w:color w:val="104862" w:themeColor="accent1" w:themeShade="BF"/>
    </w:rPr>
  </w:style>
  <w:style w:type="paragraph" w:styleId="41">
    <w:name w:val="Intense Quote"/>
    <w:basedOn w:val="1"/>
    <w:next w:val="1"/>
    <w:link w:val="4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 w:cstheme="minorBidi"/>
      <w:i/>
      <w:iCs/>
      <w:color w:val="104862" w:themeColor="accent1" w:themeShade="BF"/>
      <w:sz w:val="22"/>
      <w14:ligatures w14:val="standardContextual"/>
    </w:rPr>
  </w:style>
  <w:style w:type="character" w:customStyle="1" w:styleId="42">
    <w:name w:val="明显引用 字符"/>
    <w:basedOn w:val="24"/>
    <w:link w:val="41"/>
    <w:qFormat/>
    <w:uiPriority w:val="30"/>
    <w:rPr>
      <w:i/>
      <w:iCs/>
      <w:color w:val="104862" w:themeColor="accent1" w:themeShade="BF"/>
    </w:rPr>
  </w:style>
  <w:style w:type="character" w:customStyle="1" w:styleId="43">
    <w:name w:val="明显参考1"/>
    <w:basedOn w:val="24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4">
    <w:name w:val="页眉 字符"/>
    <w:basedOn w:val="24"/>
    <w:link w:val="12"/>
    <w:qFormat/>
    <w:uiPriority w:val="99"/>
    <w:rPr>
      <w:sz w:val="18"/>
      <w:szCs w:val="18"/>
    </w:rPr>
  </w:style>
  <w:style w:type="character" w:customStyle="1" w:styleId="45">
    <w:name w:val="页脚 字符"/>
    <w:basedOn w:val="24"/>
    <w:link w:val="17"/>
    <w:qFormat/>
    <w:uiPriority w:val="99"/>
    <w:rPr>
      <w:sz w:val="18"/>
      <w:szCs w:val="18"/>
    </w:rPr>
  </w:style>
  <w:style w:type="character" w:customStyle="1" w:styleId="46">
    <w:name w:val="正文缩进 字符"/>
    <w:link w:val="11"/>
    <w:qFormat/>
    <w:uiPriority w:val="0"/>
    <w:rPr>
      <w:rFonts w:ascii="Times New Roman" w:hAnsi="Times New Roman" w:eastAsia="宋体" w:cs="Times New Roman"/>
      <w:sz w:val="21"/>
      <w14:ligatures w14:val="none"/>
    </w:rPr>
  </w:style>
  <w:style w:type="character" w:customStyle="1" w:styleId="47">
    <w:name w:val="普通(网站) 字符"/>
    <w:link w:val="19"/>
    <w:qFormat/>
    <w:uiPriority w:val="0"/>
    <w:rPr>
      <w:rFonts w:ascii="Arial Unicode MS" w:hAnsi="Arial Unicode MS" w:eastAsia="Arial Unicode MS" w:cs="Times New Roman"/>
      <w:kern w:val="0"/>
      <w:sz w:val="24"/>
      <w14:ligatures w14:val="none"/>
    </w:rPr>
  </w:style>
  <w:style w:type="paragraph" w:customStyle="1" w:styleId="48">
    <w:name w:val="Fließtext"/>
    <w:basedOn w:val="1"/>
    <w:qFormat/>
    <w:uiPriority w:val="99"/>
    <w:pPr>
      <w:overflowPunct w:val="0"/>
      <w:autoSpaceDE w:val="0"/>
      <w:autoSpaceDN w:val="0"/>
      <w:adjustRightInd w:val="0"/>
      <w:textAlignment w:val="baseline"/>
    </w:pPr>
    <w:rPr>
      <w:rFonts w:ascii="Calibri" w:hAnsi="Calibri"/>
      <w:kern w:val="28"/>
      <w:szCs w:val="22"/>
    </w:rPr>
  </w:style>
  <w:style w:type="character" w:customStyle="1" w:styleId="49">
    <w:name w:val="textlarge1"/>
    <w:qFormat/>
    <w:uiPriority w:val="0"/>
    <w:rPr>
      <w:rFonts w:ascii="宋体" w:hAnsi="宋体" w:eastAsia="宋体" w:cs="宋体"/>
      <w:sz w:val="20"/>
      <w:szCs w:val="20"/>
    </w:rPr>
  </w:style>
  <w:style w:type="paragraph" w:customStyle="1" w:styleId="5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  <w:style w:type="character" w:customStyle="1" w:styleId="51">
    <w:name w:val="批注文字 字符"/>
    <w:basedOn w:val="24"/>
    <w:link w:val="13"/>
    <w:semiHidden/>
    <w:qFormat/>
    <w:uiPriority w:val="99"/>
    <w:rPr>
      <w:kern w:val="2"/>
      <w:sz w:val="21"/>
      <w:szCs w:val="24"/>
    </w:rPr>
  </w:style>
  <w:style w:type="character" w:customStyle="1" w:styleId="52">
    <w:name w:val="批注主题 字符"/>
    <w:basedOn w:val="51"/>
    <w:link w:val="21"/>
    <w:semiHidden/>
    <w:qFormat/>
    <w:uiPriority w:val="99"/>
    <w:rPr>
      <w:b/>
      <w:bCs/>
      <w:kern w:val="2"/>
      <w:sz w:val="21"/>
      <w:szCs w:val="24"/>
    </w:rPr>
  </w:style>
  <w:style w:type="character" w:customStyle="1" w:styleId="53">
    <w:name w:val="批注框文本 字符"/>
    <w:basedOn w:val="24"/>
    <w:link w:val="16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2855</Words>
  <Characters>2979</Characters>
  <Lines>26</Lines>
  <Paragraphs>7</Paragraphs>
  <TotalTime>4</TotalTime>
  <ScaleCrop>false</ScaleCrop>
  <LinksUpToDate>false</LinksUpToDate>
  <CharactersWithSpaces>3030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2025-05-20T01:47:00Z</dcterms:created>
  <dc:creator>chengsongyong</dc:creator>
  <cp:lastModifiedBy>Administrator</cp:lastModifiedBy>
  <cp:lastPrinted>2025-05-19T00:15:00Z</cp:lastPrinted>
  <dcterms:modified xsi:type="dcterms:W3CDTF">2025-09-15T07:43:15Z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C0B160D60F504CBD901D2E79C2389E7D_13</vt:lpwstr>
  </property>
  <property fmtid="{D5CDD505-2E9C-101B-9397-08002B2CF9AE}" pid="4" name="KSOTemplateDocerSaveRecord">
    <vt:lpwstr>eyJoZGlkIjoiOGUxZDAwOWQzNjNmMDI5YTk1OWRjNzNkMzQzMDM1NDcifQ==</vt:lpwstr>
  </property>
</Properties>
</file>