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3E8CF4">
      <w:pPr>
        <w:pStyle w:val="4"/>
        <w:bidi w:val="0"/>
        <w:jc w:val="center"/>
        <w:rPr>
          <w:rFonts w:hint="eastAsia" w:ascii="黑体" w:hAnsi="黑体" w:cs="黑体"/>
          <w:b/>
          <w:bCs w:val="0"/>
          <w:lang w:val="en-US" w:eastAsia="zh-CN"/>
        </w:rPr>
      </w:pPr>
      <w:r>
        <w:rPr>
          <w:rFonts w:hint="eastAsia" w:ascii="黑体" w:hAnsi="黑体" w:cs="黑体"/>
          <w:b/>
          <w:bCs w:val="0"/>
          <w:lang w:val="en-US" w:eastAsia="zh-CN"/>
        </w:rPr>
        <w:t>化学与材料学院成果宣传视频拍摄与制作服务</w:t>
      </w:r>
    </w:p>
    <w:p w14:paraId="3BA50A7D">
      <w:pPr>
        <w:pStyle w:val="4"/>
        <w:bidi w:val="0"/>
        <w:jc w:val="center"/>
        <w:rPr>
          <w:rFonts w:hint="eastAsia" w:ascii="黑体" w:hAnsi="黑体" w:eastAsia="黑体" w:cs="黑体"/>
          <w:b/>
          <w:bCs w:val="0"/>
          <w:lang w:val="en-US" w:eastAsia="zh-CN"/>
        </w:rPr>
      </w:pPr>
      <w:r>
        <w:rPr>
          <w:rFonts w:hint="eastAsia" w:ascii="黑体" w:hAnsi="黑体" w:eastAsia="黑体" w:cs="黑体"/>
          <w:b/>
          <w:bCs w:val="0"/>
          <w:lang w:val="en-US" w:eastAsia="zh-CN"/>
        </w:rPr>
        <w:t>招标需求</w:t>
      </w:r>
    </w:p>
    <w:p w14:paraId="59816B61">
      <w:pPr>
        <w:pStyle w:val="2"/>
        <w:snapToGrid w:val="0"/>
        <w:ind w:firstLine="560" w:firstLineChars="200"/>
        <w:rPr>
          <w:rFonts w:hint="eastAsia" w:ascii="黑体" w:hAnsi="黑体" w:eastAsia="黑体" w:cs="黑体"/>
          <w:b w:val="0"/>
          <w:bCs/>
          <w:kern w:val="2"/>
          <w:sz w:val="28"/>
          <w:szCs w:val="28"/>
          <w:lang w:val="en-US" w:eastAsia="zh-CN" w:bidi="ar-SA"/>
        </w:rPr>
      </w:pPr>
      <w:r>
        <w:rPr>
          <w:rFonts w:hint="eastAsia" w:ascii="黑体" w:hAnsi="黑体" w:eastAsia="黑体" w:cs="黑体"/>
          <w:b w:val="0"/>
          <w:bCs/>
          <w:kern w:val="2"/>
          <w:sz w:val="28"/>
          <w:szCs w:val="28"/>
          <w:lang w:val="en-US" w:eastAsia="zh-CN" w:bidi="ar-SA"/>
        </w:rPr>
        <w:t>全面展示福建师范大学化学与材料学院的办学历史、学科优势、科研成果、师资力量、人才培养成就及校园文化风貌，进一步提升学院的品牌形象和社会影响力，助力学院在新时期实现跨越式发展，现拟开展2026年学院成果宣传片拍摄制作项目。</w:t>
      </w:r>
    </w:p>
    <w:p w14:paraId="5BFE597F">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p>
    <w:p w14:paraId="41F5BC8F">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rPr>
        <w:t>一、项目概况</w:t>
      </w:r>
    </w:p>
    <w:p w14:paraId="674B9893">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lang w:eastAsia="zh-CN"/>
        </w:rPr>
      </w:pPr>
      <w:r>
        <w:rPr>
          <w:rFonts w:hint="eastAsia" w:ascii="黑体" w:hAnsi="黑体" w:eastAsia="黑体" w:cs="黑体"/>
          <w:b w:val="0"/>
          <w:bCs/>
          <w:sz w:val="28"/>
          <w:szCs w:val="28"/>
        </w:rPr>
        <w:t>1</w:t>
      </w:r>
      <w:r>
        <w:rPr>
          <w:rFonts w:hint="eastAsia" w:ascii="黑体" w:hAnsi="黑体" w:eastAsia="黑体" w:cs="黑体"/>
          <w:b w:val="0"/>
          <w:bCs/>
          <w:sz w:val="28"/>
          <w:szCs w:val="28"/>
          <w:lang w:val="en-US" w:eastAsia="zh-CN"/>
        </w:rPr>
        <w:t xml:space="preserve">. </w:t>
      </w:r>
      <w:r>
        <w:rPr>
          <w:rFonts w:hint="eastAsia" w:ascii="黑体" w:hAnsi="黑体" w:eastAsia="黑体" w:cs="黑体"/>
          <w:b w:val="0"/>
          <w:bCs/>
          <w:sz w:val="28"/>
          <w:szCs w:val="28"/>
        </w:rPr>
        <w:t>项目名称：</w:t>
      </w:r>
      <w:r>
        <w:rPr>
          <w:rFonts w:hint="eastAsia" w:ascii="黑体" w:hAnsi="黑体" w:eastAsia="黑体" w:cs="黑体"/>
          <w:b w:val="0"/>
          <w:bCs/>
          <w:sz w:val="28"/>
          <w:szCs w:val="28"/>
          <w:lang w:val="en-US" w:eastAsia="zh-CN"/>
        </w:rPr>
        <w:t>学院成果宣传视频</w:t>
      </w:r>
      <w:r>
        <w:rPr>
          <w:rFonts w:hint="eastAsia" w:ascii="黑体" w:hAnsi="黑体" w:eastAsia="黑体" w:cs="黑体"/>
          <w:b w:val="0"/>
          <w:bCs/>
          <w:sz w:val="28"/>
          <w:szCs w:val="28"/>
        </w:rPr>
        <w:t>拍摄与制作服务</w:t>
      </w:r>
      <w:r>
        <w:rPr>
          <w:rFonts w:hint="eastAsia" w:ascii="黑体" w:hAnsi="黑体" w:eastAsia="黑体" w:cs="黑体"/>
          <w:b w:val="0"/>
          <w:bCs/>
          <w:sz w:val="28"/>
          <w:szCs w:val="28"/>
          <w:lang w:eastAsia="zh-CN"/>
        </w:rPr>
        <w:t>。</w:t>
      </w:r>
    </w:p>
    <w:p w14:paraId="4080588F">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lang w:eastAsia="zh-CN"/>
        </w:rPr>
      </w:pPr>
      <w:r>
        <w:rPr>
          <w:rFonts w:hint="eastAsia" w:ascii="黑体" w:hAnsi="黑体" w:eastAsia="黑体" w:cs="黑体"/>
          <w:b w:val="0"/>
          <w:bCs/>
          <w:sz w:val="28"/>
          <w:szCs w:val="28"/>
        </w:rPr>
        <w:t>2</w:t>
      </w:r>
      <w:r>
        <w:rPr>
          <w:rFonts w:hint="eastAsia" w:ascii="黑体" w:hAnsi="黑体" w:eastAsia="黑体" w:cs="黑体"/>
          <w:b w:val="0"/>
          <w:bCs/>
          <w:sz w:val="28"/>
          <w:szCs w:val="28"/>
          <w:lang w:val="en-US" w:eastAsia="zh-CN"/>
        </w:rPr>
        <w:t xml:space="preserve">. </w:t>
      </w:r>
      <w:r>
        <w:rPr>
          <w:rFonts w:hint="eastAsia" w:ascii="黑体" w:hAnsi="黑体" w:eastAsia="黑体" w:cs="黑体"/>
          <w:b w:val="0"/>
          <w:bCs/>
          <w:sz w:val="28"/>
          <w:szCs w:val="28"/>
        </w:rPr>
        <w:t>预算金额：</w:t>
      </w:r>
      <w:r>
        <w:rPr>
          <w:rFonts w:hint="eastAsia" w:ascii="黑体" w:hAnsi="黑体" w:eastAsia="黑体" w:cs="黑体"/>
          <w:b w:val="0"/>
          <w:bCs/>
          <w:sz w:val="28"/>
          <w:szCs w:val="28"/>
          <w:lang w:val="en-US" w:eastAsia="zh-CN"/>
        </w:rPr>
        <w:t>9</w:t>
      </w:r>
      <w:r>
        <w:rPr>
          <w:rFonts w:hint="eastAsia" w:ascii="黑体" w:hAnsi="黑体" w:eastAsia="黑体" w:cs="黑体"/>
          <w:b w:val="0"/>
          <w:bCs/>
          <w:sz w:val="28"/>
          <w:szCs w:val="28"/>
        </w:rPr>
        <w:t>万元</w:t>
      </w:r>
      <w:r>
        <w:rPr>
          <w:rFonts w:hint="eastAsia" w:ascii="黑体" w:hAnsi="黑体" w:eastAsia="黑体" w:cs="黑体"/>
          <w:b w:val="0"/>
          <w:bCs/>
          <w:sz w:val="28"/>
          <w:szCs w:val="28"/>
          <w:lang w:eastAsia="zh-CN"/>
        </w:rPr>
        <w:t>。</w:t>
      </w:r>
    </w:p>
    <w:p w14:paraId="390A9671">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 xml:space="preserve">3. </w:t>
      </w:r>
      <w:r>
        <w:rPr>
          <w:rFonts w:hint="eastAsia" w:ascii="黑体" w:hAnsi="黑体" w:eastAsia="黑体" w:cs="黑体"/>
          <w:b w:val="0"/>
          <w:bCs/>
          <w:sz w:val="28"/>
          <w:szCs w:val="28"/>
        </w:rPr>
        <w:t>采购服务内容与要求</w:t>
      </w:r>
      <w:r>
        <w:rPr>
          <w:rFonts w:hint="eastAsia" w:ascii="黑体" w:hAnsi="黑体" w:eastAsia="黑体" w:cs="黑体"/>
          <w:b w:val="0"/>
          <w:bCs/>
          <w:sz w:val="28"/>
          <w:szCs w:val="28"/>
          <w:lang w:val="en-US" w:eastAsia="zh-CN"/>
        </w:rPr>
        <w:t>如下</w:t>
      </w:r>
      <w:r>
        <w:rPr>
          <w:rFonts w:hint="eastAsia" w:ascii="黑体" w:hAnsi="黑体" w:eastAsia="黑体" w:cs="黑体"/>
          <w:b w:val="0"/>
          <w:bCs/>
          <w:sz w:val="28"/>
          <w:szCs w:val="28"/>
        </w:rPr>
        <w:t>：</w:t>
      </w:r>
    </w:p>
    <w:p w14:paraId="7C5ED131">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 xml:space="preserve">3.1 </w:t>
      </w:r>
      <w:r>
        <w:rPr>
          <w:rFonts w:hint="eastAsia" w:ascii="黑体" w:hAnsi="黑体" w:eastAsia="黑体" w:cs="黑体"/>
          <w:b w:val="0"/>
          <w:bCs/>
          <w:sz w:val="28"/>
          <w:szCs w:val="28"/>
        </w:rPr>
        <w:t>乙方为甲方提供</w:t>
      </w:r>
      <w:r>
        <w:rPr>
          <w:rFonts w:hint="eastAsia" w:ascii="黑体" w:hAnsi="黑体" w:eastAsia="黑体" w:cs="黑体"/>
          <w:b w:val="0"/>
          <w:bCs/>
          <w:kern w:val="2"/>
          <w:sz w:val="28"/>
          <w:szCs w:val="28"/>
          <w:lang w:val="en-US" w:eastAsia="zh-CN" w:bidi="ar-SA"/>
        </w:rPr>
        <w:t>福建师范大学化学与材料学院</w:t>
      </w:r>
      <w:r>
        <w:rPr>
          <w:rFonts w:hint="eastAsia" w:ascii="黑体" w:hAnsi="黑体" w:eastAsia="黑体" w:cs="黑体"/>
          <w:b w:val="0"/>
          <w:bCs/>
          <w:sz w:val="28"/>
          <w:szCs w:val="28"/>
          <w:lang w:val="en-US" w:eastAsia="zh-CN"/>
        </w:rPr>
        <w:t>成果宣传视频</w:t>
      </w:r>
      <w:r>
        <w:rPr>
          <w:rFonts w:hint="eastAsia" w:ascii="黑体" w:hAnsi="黑体" w:eastAsia="黑体" w:cs="黑体"/>
          <w:b w:val="0"/>
          <w:bCs/>
          <w:sz w:val="28"/>
          <w:szCs w:val="28"/>
        </w:rPr>
        <w:t>拍摄与制作服务</w:t>
      </w:r>
      <w:r>
        <w:rPr>
          <w:rFonts w:hint="eastAsia" w:ascii="黑体" w:hAnsi="黑体" w:eastAsia="黑体" w:cs="黑体"/>
          <w:b w:val="0"/>
          <w:bCs/>
          <w:sz w:val="28"/>
          <w:szCs w:val="28"/>
          <w:lang w:eastAsia="zh-CN"/>
        </w:rPr>
        <w:t>；</w:t>
      </w:r>
    </w:p>
    <w:p w14:paraId="7314E85E">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3.2 乙方在本合同项下产生的服务成果（包括但不限于已完成、未完成或未采纳的作品以及脚本、人物造型、服装设计、画面、视频音乐、视频素材等任何随附和相关的作品的全部或者部分）的知识产权均归为甲方所有；</w:t>
      </w:r>
    </w:p>
    <w:p w14:paraId="562EFB33">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3.3 乙方确认视频拍摄制作品的知识产权归甲方所有，故未经甲方书面许可，乙方不得以任何方式使用或者许可任何第三方使用甲方广告（包括但不限于已完成、未完成或未采纳的作品，以及脚本、人物造型、服装设计、画面、广告素材等任何随附和相关的作品的全部或者部分）。</w:t>
      </w:r>
    </w:p>
    <w:p w14:paraId="0F51AE89">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rPr>
        <w:t>二、合格的供应商必须符合以下条件</w:t>
      </w:r>
    </w:p>
    <w:p w14:paraId="33E42F84">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rPr>
        <w:t>1.</w:t>
      </w:r>
      <w:r>
        <w:rPr>
          <w:rFonts w:hint="eastAsia" w:ascii="黑体" w:hAnsi="黑体" w:eastAsia="黑体" w:cs="黑体"/>
          <w:b w:val="0"/>
          <w:bCs/>
          <w:sz w:val="28"/>
          <w:szCs w:val="28"/>
          <w:lang w:val="en-US" w:eastAsia="zh-CN"/>
        </w:rPr>
        <w:t xml:space="preserve"> </w:t>
      </w:r>
      <w:r>
        <w:rPr>
          <w:rFonts w:hint="eastAsia" w:ascii="黑体" w:hAnsi="黑体" w:eastAsia="黑体" w:cs="黑体"/>
          <w:b w:val="0"/>
          <w:bCs/>
          <w:sz w:val="28"/>
          <w:szCs w:val="28"/>
        </w:rPr>
        <w:t>投标人须符合《中华人民共和国政府采购法》第二十二条规定；</w:t>
      </w:r>
    </w:p>
    <w:p w14:paraId="656848BA">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rPr>
        <w:t>2.</w:t>
      </w:r>
      <w:r>
        <w:rPr>
          <w:rFonts w:hint="eastAsia" w:ascii="黑体" w:hAnsi="黑体" w:eastAsia="黑体" w:cs="黑体"/>
          <w:b w:val="0"/>
          <w:bCs/>
          <w:sz w:val="28"/>
          <w:szCs w:val="28"/>
          <w:lang w:val="en-US" w:eastAsia="zh-CN"/>
        </w:rPr>
        <w:t xml:space="preserve"> </w:t>
      </w:r>
      <w:r>
        <w:rPr>
          <w:rFonts w:hint="eastAsia" w:ascii="黑体" w:hAnsi="黑体" w:eastAsia="黑体" w:cs="黑体"/>
          <w:b w:val="0"/>
          <w:bCs/>
          <w:sz w:val="28"/>
          <w:szCs w:val="28"/>
        </w:rPr>
        <w:t>单位负责人为同一人或者存在直接控股、管理关系的不同投标人，不得参加同一合同项下的政府采购活动；为本项目提供整体设计、规范编制或者项目管理、监理、检测等服务的供应商，不得参加本采购项目的采购活动；</w:t>
      </w:r>
    </w:p>
    <w:p w14:paraId="5FF7C928">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rPr>
        <w:t>投标人需提供参加采购活动前三年内在经营活动中没有行贿犯罪记录书面声明；参加</w:t>
      </w:r>
      <w:r>
        <w:rPr>
          <w:rFonts w:hint="eastAsia" w:ascii="黑体" w:hAnsi="黑体" w:eastAsia="黑体" w:cs="黑体"/>
          <w:b w:val="0"/>
          <w:bCs/>
          <w:sz w:val="28"/>
          <w:szCs w:val="28"/>
          <w:lang w:val="en-US" w:eastAsia="zh-CN"/>
        </w:rPr>
        <w:t>本项目</w:t>
      </w:r>
      <w:r>
        <w:rPr>
          <w:rFonts w:hint="eastAsia" w:ascii="黑体" w:hAnsi="黑体" w:eastAsia="黑体" w:cs="黑体"/>
          <w:b w:val="0"/>
          <w:bCs/>
          <w:sz w:val="28"/>
          <w:szCs w:val="28"/>
        </w:rPr>
        <w:t>活动前3年内在经营活动中没有重大违法记录的书面声明。</w:t>
      </w:r>
    </w:p>
    <w:p w14:paraId="64C4980D">
      <w:pPr>
        <w:keepNext w:val="0"/>
        <w:keepLines w:val="0"/>
        <w:pageBreakBefore w:val="0"/>
        <w:widowControl w:val="0"/>
        <w:numPr>
          <w:ilvl w:val="0"/>
          <w:numId w:val="1"/>
        </w:numPr>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rPr>
        <w:t>本项目不接受联合体投标。</w:t>
      </w:r>
    </w:p>
    <w:p w14:paraId="1EB5AEEF">
      <w:pPr>
        <w:keepNext w:val="0"/>
        <w:keepLines w:val="0"/>
        <w:pageBreakBefore w:val="0"/>
        <w:widowControl w:val="0"/>
        <w:numPr>
          <w:ilvl w:val="0"/>
          <w:numId w:val="1"/>
        </w:numPr>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视频数量：1个。</w:t>
      </w:r>
    </w:p>
    <w:p w14:paraId="5BF1D8FB">
      <w:pPr>
        <w:keepNext w:val="0"/>
        <w:keepLines w:val="0"/>
        <w:pageBreakBefore w:val="0"/>
        <w:widowControl w:val="0"/>
        <w:numPr>
          <w:ilvl w:val="0"/>
          <w:numId w:val="1"/>
        </w:numPr>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视频时长：3-5分钟/个</w:t>
      </w:r>
    </w:p>
    <w:p w14:paraId="178FCFA6">
      <w:pPr>
        <w:keepNext w:val="0"/>
        <w:keepLines w:val="0"/>
        <w:pageBreakBefore w:val="0"/>
        <w:widowControl w:val="0"/>
        <w:numPr>
          <w:ilvl w:val="0"/>
          <w:numId w:val="1"/>
        </w:numPr>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时间要求：15个工作日内完成。</w:t>
      </w:r>
    </w:p>
    <w:p w14:paraId="0FCF4EAD">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黑体" w:hAnsi="黑体" w:eastAsia="黑体" w:cs="黑体"/>
          <w:b w:val="0"/>
          <w:bCs/>
          <w:sz w:val="28"/>
          <w:szCs w:val="28"/>
        </w:rPr>
      </w:pPr>
    </w:p>
    <w:p w14:paraId="520ED90E">
      <w:pPr>
        <w:snapToGrid w:val="0"/>
        <w:rPr>
          <w:rFonts w:hint="eastAsia" w:ascii="黑体" w:hAnsi="黑体" w:eastAsia="黑体" w:cs="黑体"/>
          <w:b w:val="0"/>
          <w:bCs/>
          <w:sz w:val="28"/>
          <w:szCs w:val="28"/>
        </w:rPr>
      </w:pPr>
      <w:r>
        <w:rPr>
          <w:rFonts w:hint="eastAsia" w:ascii="黑体" w:hAnsi="黑体" w:eastAsia="黑体" w:cs="黑体"/>
          <w:b w:val="0"/>
          <w:bCs/>
          <w:sz w:val="28"/>
          <w:szCs w:val="28"/>
        </w:rPr>
        <w:br w:type="textWrapping"/>
      </w:r>
    </w:p>
    <w:p w14:paraId="44EEF3B3">
      <w:pPr>
        <w:pStyle w:val="2"/>
        <w:rPr>
          <w:rFonts w:hint="eastAsia" w:ascii="黑体" w:hAnsi="黑体" w:eastAsia="黑体" w:cs="黑体"/>
          <w:b w:val="0"/>
          <w:bCs/>
          <w:sz w:val="28"/>
          <w:szCs w:val="28"/>
        </w:rPr>
      </w:pPr>
    </w:p>
    <w:p w14:paraId="32365D59">
      <w:pPr>
        <w:pStyle w:val="2"/>
        <w:rPr>
          <w:rFonts w:hint="eastAsia" w:ascii="黑体" w:hAnsi="黑体" w:eastAsia="黑体" w:cs="黑体"/>
          <w:b w:val="0"/>
          <w:bCs/>
          <w:sz w:val="28"/>
          <w:szCs w:val="28"/>
        </w:rPr>
      </w:pPr>
    </w:p>
    <w:p w14:paraId="25EE4ECA">
      <w:pPr>
        <w:pStyle w:val="2"/>
        <w:rPr>
          <w:rFonts w:hint="eastAsia" w:ascii="黑体" w:hAnsi="黑体" w:eastAsia="黑体" w:cs="黑体"/>
          <w:b w:val="0"/>
          <w:bCs/>
          <w:sz w:val="28"/>
          <w:szCs w:val="28"/>
        </w:rPr>
      </w:pPr>
    </w:p>
    <w:p w14:paraId="1F043398">
      <w:pPr>
        <w:pStyle w:val="2"/>
        <w:rPr>
          <w:rFonts w:hint="eastAsia" w:ascii="黑体" w:hAnsi="黑体" w:eastAsia="黑体" w:cs="黑体"/>
          <w:b w:val="0"/>
          <w:bCs/>
          <w:sz w:val="28"/>
          <w:szCs w:val="28"/>
        </w:rPr>
      </w:pPr>
    </w:p>
    <w:p w14:paraId="56079C92">
      <w:pPr>
        <w:pStyle w:val="2"/>
        <w:rPr>
          <w:rFonts w:hint="eastAsia" w:ascii="黑体" w:hAnsi="黑体" w:eastAsia="黑体" w:cs="黑体"/>
          <w:b w:val="0"/>
          <w:bCs/>
          <w:sz w:val="28"/>
          <w:szCs w:val="28"/>
        </w:rPr>
      </w:pPr>
    </w:p>
    <w:p w14:paraId="74F10893">
      <w:pPr>
        <w:pStyle w:val="2"/>
        <w:rPr>
          <w:rFonts w:hint="eastAsia" w:ascii="黑体" w:hAnsi="黑体" w:eastAsia="黑体" w:cs="黑体"/>
          <w:b w:val="0"/>
          <w:bCs/>
          <w:sz w:val="28"/>
          <w:szCs w:val="28"/>
        </w:rPr>
      </w:pPr>
    </w:p>
    <w:p w14:paraId="2909D0CC">
      <w:pPr>
        <w:pStyle w:val="11"/>
        <w:jc w:val="center"/>
      </w:pPr>
      <w:r>
        <w:t>评分办法</w:t>
      </w:r>
    </w:p>
    <w:p w14:paraId="56B85A10">
      <w:pPr>
        <w:pStyle w:val="5"/>
      </w:pPr>
      <w:r>
        <w:t>一、评分总则
</w:t>
      </w:r>
    </w:p>
    <w:p w14:paraId="2CA14482">
      <w:pPr>
        <w:pStyle w:val="23"/>
        <w:keepNext w:val="0"/>
        <w:keepLines w:val="0"/>
        <w:pageBreakBefore w:val="0"/>
        <w:widowControl/>
        <w:numPr>
          <w:ilvl w:val="0"/>
          <w:numId w:val="0"/>
        </w:numPr>
        <w:kinsoku/>
        <w:wordWrap/>
        <w:overflowPunct/>
        <w:topLinePunct w:val="0"/>
        <w:autoSpaceDE/>
        <w:autoSpaceDN/>
        <w:bidi w:val="0"/>
        <w:adjustRightInd/>
        <w:snapToGrid/>
        <w:ind w:leftChars="0" w:firstLine="440" w:firstLineChars="200"/>
        <w:textAlignment w:val="auto"/>
      </w:pPr>
      <w:r>
        <w:rPr>
          <w:rFonts w:hint="eastAsia"/>
          <w:lang w:val="en-US" w:eastAsia="zh-CN"/>
        </w:rPr>
        <w:t>1、</w:t>
      </w:r>
      <w:r>
        <w:t>本评分办法采用综合评分法，满分为 100 分，包括价格部分、技术部分、商务部分三大评分模块。
</w:t>
      </w:r>
    </w:p>
    <w:p w14:paraId="3E1C4616">
      <w:pPr>
        <w:pStyle w:val="23"/>
        <w:keepNext w:val="0"/>
        <w:keepLines w:val="0"/>
        <w:pageBreakBefore w:val="0"/>
        <w:widowControl/>
        <w:numPr>
          <w:ilvl w:val="0"/>
          <w:numId w:val="0"/>
        </w:numPr>
        <w:kinsoku/>
        <w:wordWrap/>
        <w:overflowPunct/>
        <w:topLinePunct w:val="0"/>
        <w:autoSpaceDE/>
        <w:autoSpaceDN/>
        <w:bidi w:val="0"/>
        <w:adjustRightInd/>
        <w:snapToGrid/>
        <w:ind w:leftChars="0" w:firstLine="440" w:firstLineChars="200"/>
        <w:textAlignment w:val="auto"/>
      </w:pPr>
      <w:r>
        <w:rPr>
          <w:rFonts w:hint="eastAsia"/>
          <w:lang w:val="en-US" w:eastAsia="zh-CN"/>
        </w:rPr>
        <w:t>2、</w:t>
      </w:r>
      <w:r>
        <w:t>评审委员会成员按照评分标准独立对各供应商的投标文件进行评分，最终得分取所有评审委员会成员评分的算术平均值（保留两位小数）。
</w:t>
      </w:r>
    </w:p>
    <w:p w14:paraId="1C0CBF77">
      <w:pPr>
        <w:pStyle w:val="23"/>
        <w:keepNext w:val="0"/>
        <w:keepLines w:val="0"/>
        <w:pageBreakBefore w:val="0"/>
        <w:widowControl/>
        <w:numPr>
          <w:ilvl w:val="0"/>
          <w:numId w:val="0"/>
        </w:numPr>
        <w:kinsoku/>
        <w:wordWrap/>
        <w:overflowPunct/>
        <w:topLinePunct w:val="0"/>
        <w:autoSpaceDE/>
        <w:autoSpaceDN/>
        <w:bidi w:val="0"/>
        <w:adjustRightInd/>
        <w:snapToGrid/>
        <w:ind w:leftChars="0" w:firstLine="440" w:firstLineChars="200"/>
        <w:textAlignment w:val="auto"/>
      </w:pPr>
      <w:r>
        <w:rPr>
          <w:rFonts w:hint="eastAsia"/>
          <w:lang w:val="en-US" w:eastAsia="zh-CN"/>
        </w:rPr>
        <w:t>3、</w:t>
      </w:r>
      <w:r>
        <w:t>评分过程中应遵循公平、公正、科学、择优的原则，确保评分结果客观合理。
</w:t>
      </w:r>
    </w:p>
    <w:p w14:paraId="2122406D">
      <w:pPr>
        <w:pStyle w:val="5"/>
      </w:pPr>
      <w:r>
        <w:t>二、评分标准
</w:t>
      </w:r>
    </w:p>
    <w:p w14:paraId="403BB03E">
      <w:pPr>
        <w:pStyle w:val="6"/>
      </w:pPr>
      <w:r>
        <w:t>（一）价格部分（</w:t>
      </w:r>
      <w:r>
        <w:rPr>
          <w:rFonts w:hint="eastAsia"/>
          <w:lang w:val="en-US" w:eastAsia="zh-CN"/>
        </w:rPr>
        <w:t>1</w:t>
      </w:r>
      <w:r>
        <w:t>0 分）
</w:t>
      </w:r>
    </w:p>
    <w:p w14:paraId="394528FC">
      <w:pPr>
        <w:pStyle w:val="23"/>
        <w:keepNext w:val="0"/>
        <w:keepLines w:val="0"/>
        <w:pageBreakBefore w:val="0"/>
        <w:widowControl/>
        <w:numPr>
          <w:ilvl w:val="0"/>
          <w:numId w:val="0"/>
        </w:numPr>
        <w:kinsoku/>
        <w:wordWrap/>
        <w:overflowPunct/>
        <w:topLinePunct w:val="0"/>
        <w:autoSpaceDE/>
        <w:autoSpaceDN/>
        <w:bidi w:val="0"/>
        <w:adjustRightInd/>
        <w:snapToGrid/>
        <w:ind w:leftChars="0" w:firstLine="440" w:firstLineChars="200"/>
        <w:textAlignment w:val="auto"/>
        <w:rPr>
          <w:rFonts w:hint="eastAsia"/>
          <w:lang w:val="en-US" w:eastAsia="zh-CN"/>
        </w:rPr>
      </w:pPr>
      <w:r>
        <w:rPr>
          <w:rFonts w:hint="eastAsia"/>
          <w:lang w:val="en-US" w:eastAsia="zh-CN"/>
        </w:rPr>
        <w:t>1、基准价计算：满足招标文件要求且投标价格最低的投标报价为评标基准价，其价格得分为 10 分。
</w:t>
      </w:r>
    </w:p>
    <w:p w14:paraId="54BEB3B0">
      <w:pPr>
        <w:pStyle w:val="23"/>
        <w:keepNext w:val="0"/>
        <w:keepLines w:val="0"/>
        <w:pageBreakBefore w:val="0"/>
        <w:widowControl/>
        <w:numPr>
          <w:ilvl w:val="0"/>
          <w:numId w:val="0"/>
        </w:numPr>
        <w:kinsoku/>
        <w:wordWrap/>
        <w:overflowPunct/>
        <w:topLinePunct w:val="0"/>
        <w:autoSpaceDE/>
        <w:autoSpaceDN/>
        <w:bidi w:val="0"/>
        <w:adjustRightInd/>
        <w:snapToGrid/>
        <w:ind w:leftChars="0" w:firstLine="440" w:firstLineChars="200"/>
        <w:textAlignment w:val="auto"/>
        <w:rPr>
          <w:rFonts w:hint="eastAsia"/>
          <w:lang w:val="en-US" w:eastAsia="zh-CN"/>
        </w:rPr>
      </w:pPr>
      <w:r>
        <w:rPr>
          <w:rFonts w:hint="eastAsia"/>
          <w:lang w:val="en-US" w:eastAsia="zh-CN"/>
        </w:rPr>
        <w:t>2、价格得分计算：其他供应商的价格得分统一按照以下公式计算：
</w:t>
      </w:r>
      <w:r>
        <w:rPr>
          <w:rFonts w:hint="eastAsia"/>
          <w:lang w:val="en-US" w:eastAsia="zh-CN"/>
        </w:rPr>
        <w:br w:type="textWrapping"/>
      </w:r>
      <w:r>
        <w:rPr>
          <w:rFonts w:hint="eastAsia"/>
          <w:lang w:val="en-US" w:eastAsia="zh-CN"/>
        </w:rPr>
        <w:t>价格得分=（评标基准价/投标报价）*10</w:t>
      </w:r>
    </w:p>
    <w:p w14:paraId="137F9AD5">
      <w:pPr>
        <w:pStyle w:val="23"/>
        <w:keepNext w:val="0"/>
        <w:keepLines w:val="0"/>
        <w:pageBreakBefore w:val="0"/>
        <w:widowControl/>
        <w:numPr>
          <w:ilvl w:val="0"/>
          <w:numId w:val="0"/>
        </w:numPr>
        <w:kinsoku/>
        <w:wordWrap/>
        <w:overflowPunct/>
        <w:topLinePunct w:val="0"/>
        <w:autoSpaceDE/>
        <w:autoSpaceDN/>
        <w:bidi w:val="0"/>
        <w:adjustRightInd/>
        <w:snapToGrid/>
        <w:ind w:leftChars="0" w:firstLine="440" w:firstLineChars="200"/>
        <w:textAlignment w:val="auto"/>
        <w:rPr>
          <w:rFonts w:hint="eastAsia"/>
          <w:lang w:val="en-US" w:eastAsia="zh-CN"/>
        </w:rPr>
      </w:pPr>
      <w:r>
        <w:rPr>
          <w:rFonts w:hint="eastAsia"/>
          <w:lang w:val="en-US" w:eastAsia="zh-CN"/>
        </w:rPr>
        <w:t>3、注：投标报价超过采购预算的按无效投标处理。
</w:t>
      </w:r>
    </w:p>
    <w:p w14:paraId="2B4E9138">
      <w:pPr>
        <w:pStyle w:val="6"/>
      </w:pPr>
      <w:r>
        <w:t>（二）技术部分（</w:t>
      </w:r>
      <w:r>
        <w:rPr>
          <w:rFonts w:hint="eastAsia"/>
          <w:lang w:val="en-US" w:eastAsia="zh-CN"/>
        </w:rPr>
        <w:t>50</w:t>
      </w:r>
      <w:r>
        <w:t>分）
</w:t>
      </w:r>
    </w:p>
    <w:p w14:paraId="7A779818">
      <w:pPr>
        <w:pStyle w:val="23"/>
        <w:keepNext w:val="0"/>
        <w:keepLines w:val="0"/>
        <w:pageBreakBefore w:val="0"/>
        <w:widowControl/>
        <w:numPr>
          <w:ilvl w:val="0"/>
          <w:numId w:val="0"/>
        </w:numPr>
        <w:kinsoku/>
        <w:wordWrap/>
        <w:overflowPunct/>
        <w:topLinePunct w:val="0"/>
        <w:autoSpaceDE/>
        <w:autoSpaceDN/>
        <w:bidi w:val="0"/>
        <w:adjustRightInd/>
        <w:snapToGrid/>
        <w:ind w:left="0" w:leftChars="0" w:firstLine="440" w:firstLineChars="200"/>
        <w:textAlignment w:val="auto"/>
      </w:pPr>
      <w:r>
        <w:rPr>
          <w:rFonts w:hint="eastAsia"/>
          <w:b/>
          <w:bCs/>
          <w:lang w:val="en-US" w:eastAsia="zh-CN"/>
        </w:rPr>
        <w:t>1、</w:t>
      </w:r>
      <w:r>
        <w:rPr>
          <w:b/>
          <w:bCs/>
        </w:rPr>
        <w:t>创意策划方案（15 分）</w:t>
      </w:r>
    </w:p>
    <w:p w14:paraId="1036C426">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t>方案是否充分结合</w:t>
      </w:r>
      <w:r>
        <w:rPr>
          <w:rFonts w:hint="eastAsia"/>
          <w:lang w:val="en-US" w:eastAsia="zh-CN"/>
        </w:rPr>
        <w:t>学院</w:t>
      </w:r>
      <w:r>
        <w:t>办学理念、定位及培养特色，对目标人群喜好的把握程度（5 分）。
</w:t>
      </w:r>
    </w:p>
    <w:p w14:paraId="194339C7">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t>创意的创新性、独特性和吸引力，能否突出学校办学特色、学科优势等核心信息（5 分）。
</w:t>
      </w:r>
    </w:p>
    <w:p w14:paraId="2D98B7D7">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t>策划方案的完整性、合理性及可操作性，是否包含详细的拍摄思路、表现手法等（5 分）。
</w:t>
      </w:r>
    </w:p>
    <w:p w14:paraId="417DFFF0">
      <w:pPr>
        <w:pStyle w:val="23"/>
        <w:keepNext w:val="0"/>
        <w:keepLines w:val="0"/>
        <w:pageBreakBefore w:val="0"/>
        <w:widowControl/>
        <w:numPr>
          <w:ilvl w:val="0"/>
          <w:numId w:val="0"/>
        </w:numPr>
        <w:kinsoku/>
        <w:wordWrap/>
        <w:overflowPunct/>
        <w:topLinePunct w:val="0"/>
        <w:autoSpaceDE/>
        <w:autoSpaceDN/>
        <w:bidi w:val="0"/>
        <w:adjustRightInd/>
        <w:snapToGrid/>
        <w:ind w:left="0" w:leftChars="0" w:firstLine="440" w:firstLineChars="200"/>
        <w:textAlignment w:val="auto"/>
      </w:pPr>
      <w:r>
        <w:rPr>
          <w:rFonts w:hint="eastAsia"/>
          <w:b/>
          <w:bCs/>
          <w:lang w:val="en-US" w:eastAsia="zh-CN"/>
        </w:rPr>
        <w:t>2、</w:t>
      </w:r>
      <w:r>
        <w:rPr>
          <w:b/>
          <w:bCs/>
        </w:rPr>
        <w:t>文案撰写能力（1</w:t>
      </w:r>
      <w:r>
        <w:rPr>
          <w:rFonts w:hint="eastAsia"/>
          <w:b/>
          <w:bCs/>
          <w:lang w:val="en-US" w:eastAsia="zh-CN"/>
        </w:rPr>
        <w:t>5</w:t>
      </w:r>
      <w:r>
        <w:rPr>
          <w:b/>
          <w:bCs/>
        </w:rPr>
        <w:t xml:space="preserve"> 分）</w:t>
      </w:r>
    </w:p>
    <w:p w14:paraId="781D2C47">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t>文案内容是否围绕学校人才培养过程和成效，全面、准确地展现学校各项优势（</w:t>
      </w:r>
      <w:r>
        <w:rPr>
          <w:rFonts w:hint="eastAsia"/>
          <w:lang w:val="en-US" w:eastAsia="zh-CN"/>
        </w:rPr>
        <w:t>5</w:t>
      </w:r>
      <w:r>
        <w:t>分）。
</w:t>
      </w:r>
    </w:p>
    <w:p w14:paraId="50324FF7">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t>叙述方式是否创新，语言风格是否简洁明了、富有感染力且易于理解（</w:t>
      </w:r>
      <w:r>
        <w:rPr>
          <w:rFonts w:hint="eastAsia"/>
          <w:lang w:val="en-US" w:eastAsia="zh-CN"/>
        </w:rPr>
        <w:t>5</w:t>
      </w:r>
      <w:r>
        <w:t xml:space="preserve"> 分）。
</w:t>
      </w:r>
    </w:p>
    <w:p w14:paraId="226E5CC4">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cs="Arial"/>
          <w:color w:val="3370FF"/>
          <w:sz w:val="22"/>
          <w:szCs w:val="22"/>
          <w:lang w:eastAsia="zh-CN"/>
        </w:rPr>
        <w:t xml:space="preserve"> </w:t>
      </w:r>
      <w:r>
        <w:t>文案结构是否清晰，逻辑是否连贯，能否有效吸引观众注意力（</w:t>
      </w:r>
      <w:r>
        <w:rPr>
          <w:rFonts w:hint="eastAsia"/>
          <w:lang w:val="en-US" w:eastAsia="zh-CN"/>
        </w:rPr>
        <w:t>5</w:t>
      </w:r>
      <w:r>
        <w:t xml:space="preserve"> 分）。
</w:t>
      </w:r>
    </w:p>
    <w:p w14:paraId="419712C1">
      <w:pPr>
        <w:pStyle w:val="23"/>
        <w:keepNext w:val="0"/>
        <w:keepLines w:val="0"/>
        <w:pageBreakBefore w:val="0"/>
        <w:widowControl/>
        <w:numPr>
          <w:ilvl w:val="0"/>
          <w:numId w:val="0"/>
        </w:numPr>
        <w:kinsoku/>
        <w:wordWrap/>
        <w:overflowPunct/>
        <w:topLinePunct w:val="0"/>
        <w:autoSpaceDE/>
        <w:autoSpaceDN/>
        <w:bidi w:val="0"/>
        <w:adjustRightInd/>
        <w:snapToGrid/>
        <w:ind w:left="0" w:leftChars="0" w:firstLine="440" w:firstLineChars="200"/>
        <w:textAlignment w:val="auto"/>
      </w:pPr>
      <w:r>
        <w:rPr>
          <w:rFonts w:hint="eastAsia"/>
          <w:b/>
          <w:bCs/>
          <w:lang w:val="en-US" w:eastAsia="zh-CN"/>
        </w:rPr>
        <w:t>3、</w:t>
      </w:r>
      <w:r>
        <w:rPr>
          <w:b/>
          <w:bCs/>
        </w:rPr>
        <w:t>拍摄方案（10 分）</w:t>
      </w:r>
      <w:r>
        <w:t>
</w:t>
      </w:r>
    </w:p>
    <w:p w14:paraId="1866113A">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cs="Arial"/>
          <w:color w:val="3370FF"/>
          <w:sz w:val="22"/>
          <w:szCs w:val="22"/>
          <w:lang w:eastAsia="zh-CN"/>
        </w:rPr>
        <w:t xml:space="preserve"> </w:t>
      </w:r>
      <w:r>
        <w:t>拍摄设备的先进性和完备性（</w:t>
      </w:r>
      <w:r>
        <w:rPr>
          <w:rFonts w:hint="eastAsia"/>
          <w:lang w:val="en-US" w:eastAsia="zh-CN"/>
        </w:rPr>
        <w:t>5</w:t>
      </w:r>
      <w:r>
        <w:t xml:space="preserve"> 分）。</w:t>
      </w:r>
    </w:p>
    <w:p w14:paraId="77465236">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cs="Arial"/>
          <w:color w:val="3370FF"/>
          <w:sz w:val="22"/>
          <w:szCs w:val="22"/>
          <w:lang w:eastAsia="zh-CN"/>
        </w:rPr>
        <w:t xml:space="preserve"> </w:t>
      </w:r>
      <w:r>
        <w:t>拍摄计划的合理性，包括拍摄场景覆盖范围、拍摄手法运用等（</w:t>
      </w:r>
      <w:r>
        <w:rPr>
          <w:rFonts w:hint="eastAsia"/>
          <w:lang w:val="en-US" w:eastAsia="zh-CN"/>
        </w:rPr>
        <w:t>5</w:t>
      </w:r>
      <w:r>
        <w:t xml:space="preserve"> 分）。
</w:t>
      </w:r>
    </w:p>
    <w:p w14:paraId="689DC40B">
      <w:pPr>
        <w:pStyle w:val="23"/>
        <w:keepNext w:val="0"/>
        <w:keepLines w:val="0"/>
        <w:pageBreakBefore w:val="0"/>
        <w:widowControl/>
        <w:numPr>
          <w:ilvl w:val="0"/>
          <w:numId w:val="0"/>
        </w:numPr>
        <w:kinsoku/>
        <w:wordWrap/>
        <w:overflowPunct/>
        <w:topLinePunct w:val="0"/>
        <w:autoSpaceDE/>
        <w:autoSpaceDN/>
        <w:bidi w:val="0"/>
        <w:adjustRightInd/>
        <w:snapToGrid/>
        <w:ind w:left="0" w:leftChars="0" w:firstLine="440" w:firstLineChars="200"/>
        <w:textAlignment w:val="auto"/>
      </w:pPr>
      <w:r>
        <w:rPr>
          <w:rFonts w:hint="eastAsia"/>
          <w:b/>
          <w:bCs/>
          <w:lang w:val="en-US" w:eastAsia="zh-CN"/>
        </w:rPr>
        <w:t>4、</w:t>
      </w:r>
      <w:r>
        <w:rPr>
          <w:b/>
          <w:bCs/>
        </w:rPr>
        <w:t>后期制作方案（10 分）</w:t>
      </w:r>
    </w:p>
    <w:p w14:paraId="5C48D602">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cs="Arial"/>
          <w:color w:val="3370FF"/>
          <w:sz w:val="22"/>
          <w:szCs w:val="22"/>
          <w:lang w:eastAsia="zh-CN"/>
        </w:rPr>
        <w:t xml:space="preserve"> </w:t>
      </w:r>
      <w:r>
        <w:t>后期制作软件的专业性和技术能力，能否实现特效渲染、调色、剪辑等要求（3 分）。</w:t>
      </w:r>
    </w:p>
    <w:p w14:paraId="35283DE7">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cs="Arial"/>
          <w:color w:val="3370FF"/>
          <w:sz w:val="22"/>
          <w:szCs w:val="22"/>
          <w:lang w:eastAsia="zh-CN"/>
        </w:rPr>
        <w:t xml:space="preserve"> </w:t>
      </w:r>
      <w:r>
        <w:t>特效包装和剪辑效果的预期表现，是否具有视觉冲击力和艺术效果（3 分）。
</w:t>
      </w:r>
    </w:p>
    <w:p w14:paraId="6207601A">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cs="Arial"/>
          <w:color w:val="3370FF"/>
          <w:sz w:val="22"/>
          <w:szCs w:val="22"/>
          <w:lang w:eastAsia="zh-CN"/>
        </w:rPr>
        <w:t xml:space="preserve"> </w:t>
      </w:r>
      <w:r>
        <w:t>音频处理方案的合理性，包括配音、配乐的选择及声画同步处理（2 分）。
</w:t>
      </w:r>
    </w:p>
    <w:p w14:paraId="6E2AAA69">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cs="Arial"/>
          <w:color w:val="3370FF"/>
          <w:sz w:val="22"/>
          <w:szCs w:val="22"/>
          <w:lang w:eastAsia="zh-CN"/>
        </w:rPr>
        <w:t xml:space="preserve"> </w:t>
      </w:r>
      <w:r>
        <w:t>售后服务承诺的完整性和可行性，能否及时响应学校的修改需求（2 分）。
</w:t>
      </w:r>
    </w:p>
    <w:p w14:paraId="0DD09C17">
      <w:pPr>
        <w:pStyle w:val="6"/>
      </w:pPr>
      <w:r>
        <w:t>（三）商务部分（</w:t>
      </w:r>
      <w:r>
        <w:rPr>
          <w:rFonts w:hint="eastAsia"/>
          <w:lang w:val="en-US" w:eastAsia="zh-CN"/>
        </w:rPr>
        <w:t>40</w:t>
      </w:r>
      <w:r>
        <w:t>分）
</w:t>
      </w:r>
    </w:p>
    <w:p w14:paraId="406FC274">
      <w:pPr>
        <w:pStyle w:val="23"/>
        <w:keepNext w:val="0"/>
        <w:keepLines w:val="0"/>
        <w:pageBreakBefore w:val="0"/>
        <w:widowControl/>
        <w:numPr>
          <w:ilvl w:val="0"/>
          <w:numId w:val="0"/>
        </w:numPr>
        <w:kinsoku/>
        <w:wordWrap/>
        <w:overflowPunct/>
        <w:topLinePunct w:val="0"/>
        <w:autoSpaceDE/>
        <w:autoSpaceDN/>
        <w:bidi w:val="0"/>
        <w:adjustRightInd/>
        <w:snapToGrid/>
        <w:ind w:left="0" w:leftChars="0" w:firstLine="440" w:firstLineChars="200"/>
        <w:textAlignment w:val="auto"/>
      </w:pPr>
      <w:bookmarkStart w:id="0" w:name="_GoBack"/>
      <w:bookmarkEnd w:id="0"/>
      <w:r>
        <w:rPr>
          <w:rFonts w:hint="eastAsia"/>
          <w:b/>
          <w:bCs/>
          <w:lang w:val="en-US" w:eastAsia="zh-CN"/>
        </w:rPr>
        <w:t>相关声明承诺</w:t>
      </w:r>
      <w:r>
        <w:rPr>
          <w:b/>
          <w:bCs/>
        </w:rPr>
        <w:t>（</w:t>
      </w:r>
      <w:r>
        <w:rPr>
          <w:rFonts w:hint="eastAsia"/>
          <w:b/>
          <w:bCs/>
          <w:lang w:val="en-US" w:eastAsia="zh-CN"/>
        </w:rPr>
        <w:t>40</w:t>
      </w:r>
      <w:r>
        <w:rPr>
          <w:b/>
          <w:bCs/>
        </w:rPr>
        <w:t xml:space="preserve"> 分）</w:t>
      </w:r>
    </w:p>
    <w:p w14:paraId="1F223CF9">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lang w:eastAsia="zh-CN"/>
        </w:rPr>
        <w:t xml:space="preserve"> </w:t>
      </w:r>
      <w:r>
        <w:rPr>
          <w:rFonts w:hint="eastAsia"/>
          <w:lang w:val="en-US" w:eastAsia="zh-CN"/>
        </w:rPr>
        <w:t>提供</w:t>
      </w:r>
      <w:r>
        <w:t>对知识产权归属的</w:t>
      </w:r>
      <w:r>
        <w:rPr>
          <w:rFonts w:hint="eastAsia"/>
          <w:lang w:val="en-US" w:eastAsia="zh-CN"/>
        </w:rPr>
        <w:t>相关</w:t>
      </w:r>
      <w:r>
        <w:t>承诺</w:t>
      </w:r>
      <w:r>
        <w:rPr>
          <w:rFonts w:hint="eastAsia"/>
          <w:lang w:val="en-US" w:eastAsia="zh-CN"/>
        </w:rPr>
        <w:t>函。</w:t>
      </w:r>
      <w:r>
        <w:t>（</w:t>
      </w:r>
      <w:r>
        <w:rPr>
          <w:rFonts w:hint="eastAsia"/>
          <w:lang w:val="en-US" w:eastAsia="zh-CN"/>
        </w:rPr>
        <w:t>10</w:t>
      </w:r>
      <w:r>
        <w:t>分）。
</w:t>
      </w:r>
    </w:p>
    <w:p w14:paraId="33C497C6">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440" w:firstLineChars="200"/>
        <w:textAlignment w:val="auto"/>
      </w:pPr>
      <w:r>
        <w:rPr>
          <w:rFonts w:hint="eastAsia"/>
          <w:lang w:eastAsia="zh-CN"/>
        </w:rPr>
        <w:t xml:space="preserve"> </w:t>
      </w:r>
      <w:r>
        <w:rPr>
          <w:rFonts w:hint="eastAsia"/>
          <w:lang w:val="en-US" w:eastAsia="zh-CN"/>
        </w:rPr>
        <w:t>提供</w:t>
      </w:r>
      <w:r>
        <w:t>对</w:t>
      </w:r>
      <w:r>
        <w:rPr>
          <w:rFonts w:hint="eastAsia"/>
          <w:lang w:val="en-US" w:eastAsia="zh-CN"/>
        </w:rPr>
        <w:t>相关涉密内容的保密</w:t>
      </w:r>
      <w:r>
        <w:t>承诺</w:t>
      </w:r>
      <w:r>
        <w:rPr>
          <w:rFonts w:hint="eastAsia"/>
          <w:lang w:val="en-US" w:eastAsia="zh-CN"/>
        </w:rPr>
        <w:t>函</w:t>
      </w:r>
      <w:r>
        <w:t>（</w:t>
      </w:r>
      <w:r>
        <w:rPr>
          <w:rFonts w:hint="eastAsia"/>
          <w:lang w:val="en-US" w:eastAsia="zh-CN"/>
        </w:rPr>
        <w:t>10</w:t>
      </w:r>
      <w:r>
        <w:t>分）。
</w:t>
      </w:r>
    </w:p>
    <w:p w14:paraId="6F52D1DB">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660" w:firstLineChars="300"/>
        <w:textAlignment w:val="auto"/>
      </w:pPr>
      <w:r>
        <w:rPr>
          <w:rFonts w:hint="eastAsia"/>
          <w:lang w:val="en-US" w:eastAsia="zh-CN"/>
        </w:rPr>
        <w:t>提供</w:t>
      </w:r>
      <w:r>
        <w:t>原创性与版权承诺</w:t>
      </w:r>
      <w:r>
        <w:rPr>
          <w:rFonts w:hint="eastAsia"/>
          <w:lang w:val="en-US" w:eastAsia="zh-CN"/>
        </w:rPr>
        <w:t>函</w:t>
      </w:r>
      <w:r>
        <w:t>（</w:t>
      </w:r>
      <w:r>
        <w:rPr>
          <w:rFonts w:hint="eastAsia"/>
          <w:lang w:val="en-US" w:eastAsia="zh-CN"/>
        </w:rPr>
        <w:t>10</w:t>
      </w:r>
      <w:r>
        <w:t>分）。
</w:t>
      </w:r>
    </w:p>
    <w:p w14:paraId="14F8197F">
      <w:pPr>
        <w:pStyle w:val="23"/>
        <w:keepNext w:val="0"/>
        <w:keepLines w:val="0"/>
        <w:pageBreakBefore w:val="0"/>
        <w:widowControl/>
        <w:numPr>
          <w:ilvl w:val="1"/>
          <w:numId w:val="0"/>
        </w:numPr>
        <w:kinsoku/>
        <w:wordWrap/>
        <w:overflowPunct/>
        <w:topLinePunct w:val="0"/>
        <w:autoSpaceDE/>
        <w:autoSpaceDN/>
        <w:bidi w:val="0"/>
        <w:adjustRightInd/>
        <w:snapToGrid/>
        <w:ind w:left="0" w:leftChars="0" w:firstLine="660" w:firstLineChars="300"/>
        <w:textAlignment w:val="auto"/>
        <w:rPr>
          <w:rFonts w:hint="default"/>
          <w:lang w:val="en-US" w:eastAsia="zh-CN"/>
        </w:rPr>
      </w:pPr>
      <w:r>
        <w:rPr>
          <w:rFonts w:hint="eastAsia"/>
          <w:lang w:val="en-US" w:eastAsia="zh-CN"/>
        </w:rPr>
        <w:t>提供相关售后服务承诺函</w:t>
      </w:r>
      <w:r>
        <w:t>（</w:t>
      </w:r>
      <w:r>
        <w:rPr>
          <w:rFonts w:hint="eastAsia"/>
          <w:lang w:val="en-US" w:eastAsia="zh-CN"/>
        </w:rPr>
        <w:t>10</w:t>
      </w:r>
      <w:r>
        <w:t>分）。
</w:t>
      </w:r>
    </w:p>
    <w:p w14:paraId="4817FDDB">
      <w:pPr>
        <w:pStyle w:val="2"/>
        <w:snapToGrid w:val="0"/>
        <w:ind w:firstLine="0" w:firstLineChars="0"/>
        <w:rPr>
          <w:rFonts w:hint="eastAsia" w:ascii="黑体" w:hAnsi="黑体" w:eastAsia="黑体" w:cs="黑体"/>
          <w:b w:val="0"/>
          <w:bCs/>
          <w:sz w:val="28"/>
          <w:szCs w:val="28"/>
        </w:rPr>
      </w:pPr>
    </w:p>
    <w:p w14:paraId="5E8FCC9B">
      <w:pPr>
        <w:pStyle w:val="2"/>
        <w:snapToGrid w:val="0"/>
        <w:spacing w:line="520" w:lineRule="exact"/>
        <w:ind w:firstLine="600"/>
        <w:rPr>
          <w:rFonts w:hint="eastAsia" w:ascii="黑体" w:hAnsi="黑体" w:eastAsia="黑体" w:cs="黑体"/>
          <w:b w:val="0"/>
          <w:bCs/>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91441B5-0BF0-47D9-955F-DD0779FE7AD5}"/>
  </w:font>
  <w:font w:name="黑体">
    <w:panose1 w:val="02010609060101010101"/>
    <w:charset w:val="86"/>
    <w:family w:val="auto"/>
    <w:pitch w:val="default"/>
    <w:sig w:usb0="800002BF" w:usb1="38CF7CFA" w:usb2="00000016" w:usb3="00000000" w:csb0="00040001" w:csb1="00000000"/>
    <w:embedRegular r:id="rId2" w:fontKey="{BE8E8370-68F5-43F7-9EBE-D15C396F5D6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46106559"/>
    </w:sdtPr>
    <w:sdtContent>
      <w:p w14:paraId="2E736AD4">
        <w:pPr>
          <w:pStyle w:val="8"/>
          <w:jc w:val="center"/>
        </w:pPr>
        <w:r>
          <w:fldChar w:fldCharType="begin"/>
        </w:r>
        <w:r>
          <w:instrText xml:space="preserve">PAGE   \* MERGEFORMAT</w:instrText>
        </w:r>
        <w:r>
          <w:fldChar w:fldCharType="separate"/>
        </w:r>
        <w:r>
          <w:rPr>
            <w:lang w:val="zh-CN"/>
          </w:rPr>
          <w:t>4</w:t>
        </w:r>
        <w:r>
          <w:fldChar w:fldCharType="end"/>
        </w:r>
      </w:p>
    </w:sdtContent>
  </w:sdt>
  <w:p w14:paraId="7365D59D">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2ABBC9"/>
    <w:multiLevelType w:val="singleLevel"/>
    <w:tmpl w:val="7E2ABBC9"/>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2OWEwYjg4YmEzOGFiZTE0NDY2ZTNiMjBhNjFhNjQifQ=="/>
  </w:docVars>
  <w:rsids>
    <w:rsidRoot w:val="004440AB"/>
    <w:rsid w:val="0006387B"/>
    <w:rsid w:val="000F3841"/>
    <w:rsid w:val="002D6C74"/>
    <w:rsid w:val="0030279C"/>
    <w:rsid w:val="003B7127"/>
    <w:rsid w:val="004228F8"/>
    <w:rsid w:val="004440AB"/>
    <w:rsid w:val="00662A17"/>
    <w:rsid w:val="008D41DF"/>
    <w:rsid w:val="009E7B33"/>
    <w:rsid w:val="00B32155"/>
    <w:rsid w:val="00BD6308"/>
    <w:rsid w:val="00CE6D2B"/>
    <w:rsid w:val="00F93489"/>
    <w:rsid w:val="01AD071C"/>
    <w:rsid w:val="02511F45"/>
    <w:rsid w:val="025C5D21"/>
    <w:rsid w:val="027F4CEB"/>
    <w:rsid w:val="02CB1CF7"/>
    <w:rsid w:val="03973353"/>
    <w:rsid w:val="03D80E73"/>
    <w:rsid w:val="045A1585"/>
    <w:rsid w:val="04EE45DA"/>
    <w:rsid w:val="06113CB0"/>
    <w:rsid w:val="065344DE"/>
    <w:rsid w:val="06EE06AA"/>
    <w:rsid w:val="070752C8"/>
    <w:rsid w:val="07372051"/>
    <w:rsid w:val="07F636F6"/>
    <w:rsid w:val="099877BE"/>
    <w:rsid w:val="0B8909A2"/>
    <w:rsid w:val="0F4B7A9D"/>
    <w:rsid w:val="103B4960"/>
    <w:rsid w:val="10D7583A"/>
    <w:rsid w:val="11C65AB7"/>
    <w:rsid w:val="14670C9B"/>
    <w:rsid w:val="17EF1B5C"/>
    <w:rsid w:val="190F0738"/>
    <w:rsid w:val="1AF5395E"/>
    <w:rsid w:val="1B9206DD"/>
    <w:rsid w:val="1CE7377A"/>
    <w:rsid w:val="1E6F3A27"/>
    <w:rsid w:val="20414271"/>
    <w:rsid w:val="22F13BA9"/>
    <w:rsid w:val="23BD6FE3"/>
    <w:rsid w:val="2443573A"/>
    <w:rsid w:val="25EE7927"/>
    <w:rsid w:val="26CC7C68"/>
    <w:rsid w:val="283D06F2"/>
    <w:rsid w:val="29363ABF"/>
    <w:rsid w:val="2A73489F"/>
    <w:rsid w:val="2C9D6AB5"/>
    <w:rsid w:val="2D0B0DBF"/>
    <w:rsid w:val="2D46629B"/>
    <w:rsid w:val="305A4537"/>
    <w:rsid w:val="30E3452C"/>
    <w:rsid w:val="320504D2"/>
    <w:rsid w:val="323F1C36"/>
    <w:rsid w:val="33AD6F69"/>
    <w:rsid w:val="34034EE6"/>
    <w:rsid w:val="34535E9F"/>
    <w:rsid w:val="35301D0A"/>
    <w:rsid w:val="3713099F"/>
    <w:rsid w:val="3756532C"/>
    <w:rsid w:val="37B80D7D"/>
    <w:rsid w:val="37D050DF"/>
    <w:rsid w:val="38EA628D"/>
    <w:rsid w:val="38F1355F"/>
    <w:rsid w:val="3A127C30"/>
    <w:rsid w:val="3B2508B9"/>
    <w:rsid w:val="3B297A62"/>
    <w:rsid w:val="3C5E0F0B"/>
    <w:rsid w:val="3D225D7A"/>
    <w:rsid w:val="3D8E3A72"/>
    <w:rsid w:val="3E784DEA"/>
    <w:rsid w:val="3ED454B4"/>
    <w:rsid w:val="3F8A64BB"/>
    <w:rsid w:val="41A95D0C"/>
    <w:rsid w:val="41C21C88"/>
    <w:rsid w:val="41C21F3C"/>
    <w:rsid w:val="438356FB"/>
    <w:rsid w:val="43F064ED"/>
    <w:rsid w:val="4524461F"/>
    <w:rsid w:val="458B6AE9"/>
    <w:rsid w:val="46537607"/>
    <w:rsid w:val="48445E09"/>
    <w:rsid w:val="48B16866"/>
    <w:rsid w:val="48D93F8B"/>
    <w:rsid w:val="4C6B5B4D"/>
    <w:rsid w:val="4C8A0766"/>
    <w:rsid w:val="4CA50490"/>
    <w:rsid w:val="4D221AE1"/>
    <w:rsid w:val="4E973FD9"/>
    <w:rsid w:val="4ECD7F93"/>
    <w:rsid w:val="4FDC515A"/>
    <w:rsid w:val="5009608F"/>
    <w:rsid w:val="5019541D"/>
    <w:rsid w:val="52151C14"/>
    <w:rsid w:val="52877104"/>
    <w:rsid w:val="52E34F3D"/>
    <w:rsid w:val="54C17E31"/>
    <w:rsid w:val="559E35BC"/>
    <w:rsid w:val="564156CE"/>
    <w:rsid w:val="56956B92"/>
    <w:rsid w:val="576D0A37"/>
    <w:rsid w:val="58B959EF"/>
    <w:rsid w:val="58BD752E"/>
    <w:rsid w:val="5BE32D83"/>
    <w:rsid w:val="5D5C7C44"/>
    <w:rsid w:val="5D826BCF"/>
    <w:rsid w:val="5F554780"/>
    <w:rsid w:val="5FB76A00"/>
    <w:rsid w:val="600D6620"/>
    <w:rsid w:val="60AD570E"/>
    <w:rsid w:val="61162A2F"/>
    <w:rsid w:val="611C17E3"/>
    <w:rsid w:val="61DB4C28"/>
    <w:rsid w:val="62051CA5"/>
    <w:rsid w:val="62A25746"/>
    <w:rsid w:val="64137F7D"/>
    <w:rsid w:val="647B624F"/>
    <w:rsid w:val="66270550"/>
    <w:rsid w:val="669E6224"/>
    <w:rsid w:val="66B5531C"/>
    <w:rsid w:val="67AE06E9"/>
    <w:rsid w:val="69AA354B"/>
    <w:rsid w:val="69B33D95"/>
    <w:rsid w:val="69BD43C2"/>
    <w:rsid w:val="69CE5072"/>
    <w:rsid w:val="6A152CA1"/>
    <w:rsid w:val="6BB15E08"/>
    <w:rsid w:val="6CCB2F9B"/>
    <w:rsid w:val="6D1E66C6"/>
    <w:rsid w:val="71755DD4"/>
    <w:rsid w:val="72871D50"/>
    <w:rsid w:val="729F75AC"/>
    <w:rsid w:val="730E4732"/>
    <w:rsid w:val="7329156C"/>
    <w:rsid w:val="748E5B2A"/>
    <w:rsid w:val="7524023C"/>
    <w:rsid w:val="75742F72"/>
    <w:rsid w:val="75C630A2"/>
    <w:rsid w:val="77D5581E"/>
    <w:rsid w:val="782F3180"/>
    <w:rsid w:val="787D0D30"/>
    <w:rsid w:val="78A24185"/>
    <w:rsid w:val="798474FC"/>
    <w:rsid w:val="79DA65D2"/>
    <w:rsid w:val="7C9C22FF"/>
    <w:rsid w:val="7CAF47B7"/>
    <w:rsid w:val="7CB9570E"/>
    <w:rsid w:val="7CF77FE5"/>
    <w:rsid w:val="7D676CA0"/>
    <w:rsid w:val="7EA47CF8"/>
    <w:rsid w:val="7ED06D3F"/>
    <w:rsid w:val="7F54171E"/>
    <w:rsid w:val="7F765B38"/>
    <w:rsid w:val="7FCB5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autoRedefine/>
    <w:unhideWhenUsed/>
    <w:qFormat/>
    <w:uiPriority w:val="0"/>
    <w:pPr>
      <w:keepNext/>
      <w:keepLines/>
      <w:spacing w:before="260" w:after="260" w:line="413" w:lineRule="auto"/>
      <w:outlineLvl w:val="1"/>
    </w:pPr>
    <w:rPr>
      <w:rFonts w:ascii="Arial" w:hAnsi="Arial" w:eastAsia="黑体"/>
      <w:b/>
      <w:sz w:val="32"/>
    </w:rPr>
  </w:style>
  <w:style w:type="paragraph" w:styleId="5">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6">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ind w:firstLine="420" w:firstLineChars="200"/>
    </w:pPr>
  </w:style>
  <w:style w:type="paragraph" w:styleId="7">
    <w:name w:val="Body Text Indent"/>
    <w:basedOn w:val="1"/>
    <w:autoRedefine/>
    <w:qFormat/>
    <w:uiPriority w:val="0"/>
    <w:pPr>
      <w:ind w:left="570"/>
    </w:pPr>
    <w:rPr>
      <w:sz w:val="28"/>
    </w:rPr>
  </w:style>
  <w:style w:type="paragraph" w:styleId="8">
    <w:name w:val="footer"/>
    <w:basedOn w:val="1"/>
    <w:link w:val="21"/>
    <w:autoRedefine/>
    <w:qFormat/>
    <w:uiPriority w:val="99"/>
    <w:pPr>
      <w:tabs>
        <w:tab w:val="center" w:pos="4153"/>
        <w:tab w:val="right" w:pos="8306"/>
      </w:tabs>
      <w:snapToGrid w:val="0"/>
      <w:jc w:val="left"/>
    </w:pPr>
    <w:rPr>
      <w:sz w:val="18"/>
      <w:szCs w:val="18"/>
    </w:rPr>
  </w:style>
  <w:style w:type="paragraph" w:styleId="9">
    <w:name w:val="header"/>
    <w:basedOn w:val="1"/>
    <w:link w:val="20"/>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11">
    <w:name w:val="Title"/>
    <w:qFormat/>
    <w:uiPriority w:val="0"/>
    <w:pPr>
      <w:spacing w:before="480" w:after="480" w:line="288" w:lineRule="auto"/>
      <w:ind w:left="0"/>
    </w:pPr>
    <w:rPr>
      <w:rFonts w:ascii="Arial" w:hAnsi="Arial" w:eastAsia="等线" w:cs="Arial"/>
      <w:b/>
      <w:bCs/>
      <w:sz w:val="52"/>
      <w:szCs w:val="52"/>
    </w:rPr>
  </w:style>
  <w:style w:type="paragraph" w:styleId="12">
    <w:name w:val="Body Text First Indent 2"/>
    <w:basedOn w:val="7"/>
    <w:autoRedefine/>
    <w:qFormat/>
    <w:uiPriority w:val="99"/>
    <w:pPr>
      <w:ind w:firstLine="420" w:firstLineChars="200"/>
    </w:pPr>
  </w:style>
  <w:style w:type="character" w:styleId="15">
    <w:name w:val="Strong"/>
    <w:basedOn w:val="14"/>
    <w:qFormat/>
    <w:uiPriority w:val="0"/>
    <w:rPr>
      <w:b/>
    </w:rPr>
  </w:style>
  <w:style w:type="character" w:styleId="16">
    <w:name w:val="Emphasis"/>
    <w:basedOn w:val="14"/>
    <w:qFormat/>
    <w:uiPriority w:val="0"/>
    <w:rPr>
      <w:i/>
    </w:rPr>
  </w:style>
  <w:style w:type="paragraph" w:customStyle="1" w:styleId="17">
    <w:name w:val="Fließtext"/>
    <w:basedOn w:val="1"/>
    <w:autoRedefine/>
    <w:qFormat/>
    <w:uiPriority w:val="0"/>
    <w:pPr>
      <w:overflowPunct w:val="0"/>
      <w:autoSpaceDE w:val="0"/>
      <w:autoSpaceDN w:val="0"/>
      <w:adjustRightInd w:val="0"/>
      <w:textAlignment w:val="baseline"/>
    </w:pPr>
    <w:rPr>
      <w:rFonts w:eastAsia="仿宋_GB2312"/>
      <w:kern w:val="28"/>
      <w:sz w:val="24"/>
      <w:szCs w:val="20"/>
    </w:rPr>
  </w:style>
  <w:style w:type="paragraph" w:customStyle="1" w:styleId="18">
    <w:name w:val="列出段落1"/>
    <w:basedOn w:val="1"/>
    <w:autoRedefine/>
    <w:qFormat/>
    <w:uiPriority w:val="34"/>
    <w:pPr>
      <w:ind w:firstLine="420" w:firstLineChars="200"/>
    </w:pPr>
  </w:style>
  <w:style w:type="paragraph" w:styleId="19">
    <w:name w:val="List Paragraph"/>
    <w:basedOn w:val="1"/>
    <w:autoRedefine/>
    <w:qFormat/>
    <w:uiPriority w:val="99"/>
    <w:pPr>
      <w:ind w:firstLine="420" w:firstLineChars="200"/>
    </w:pPr>
  </w:style>
  <w:style w:type="character" w:customStyle="1" w:styleId="20">
    <w:name w:val="页眉 字符"/>
    <w:basedOn w:val="14"/>
    <w:link w:val="9"/>
    <w:autoRedefine/>
    <w:qFormat/>
    <w:uiPriority w:val="0"/>
    <w:rPr>
      <w:rFonts w:ascii="Times New Roman" w:hAnsi="Times New Roman" w:cs="Times New Roman"/>
      <w:kern w:val="2"/>
      <w:sz w:val="18"/>
      <w:szCs w:val="18"/>
    </w:rPr>
  </w:style>
  <w:style w:type="character" w:customStyle="1" w:styleId="21">
    <w:name w:val="页脚 字符"/>
    <w:basedOn w:val="14"/>
    <w:link w:val="8"/>
    <w:autoRedefine/>
    <w:qFormat/>
    <w:uiPriority w:val="99"/>
    <w:rPr>
      <w:rFonts w:ascii="Times New Roman" w:hAnsi="Times New Roman" w:cs="Times New Roman"/>
      <w:kern w:val="2"/>
      <w:sz w:val="18"/>
      <w:szCs w:val="18"/>
    </w:rPr>
  </w:style>
  <w:style w:type="paragraph" w:customStyle="1" w:styleId="22">
    <w:name w:val="null3"/>
    <w:qFormat/>
    <w:uiPriority w:val="0"/>
    <w:rPr>
      <w:rFonts w:hint="eastAsia" w:ascii="Calibri" w:hAnsi="Calibri" w:eastAsia="宋体" w:cs="Times New Roman"/>
      <w:lang w:val="en-US" w:eastAsia="zh-Hans" w:bidi="ar-SA"/>
    </w:rPr>
  </w:style>
  <w:style w:type="paragraph" w:customStyle="1" w:styleId="23">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1561</Words>
  <Characters>1595</Characters>
  <Lines>17</Lines>
  <Paragraphs>4</Paragraphs>
  <TotalTime>4</TotalTime>
  <ScaleCrop>false</ScaleCrop>
  <LinksUpToDate>false</LinksUpToDate>
  <CharactersWithSpaces>1633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2025-04-25T04:03:00Z</dcterms:created>
  <dc:creator>Administrator</dc:creator>
  <cp:lastModifiedBy>江腾飞</cp:lastModifiedBy>
  <dcterms:modified xsi:type="dcterms:W3CDTF">2026-05-26T02:08:14Z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2C77C3B006184619A330E5AD5E869F96_13</vt:lpwstr>
  </property>
  <property fmtid="{D5CDD505-2E9C-101B-9397-08002B2CF9AE}" pid="4" name="commondata">
    <vt:lpwstr>eyJoZGlkIjoiNjM4OGRkNjE0YTU4YTQ1OGYwMzAwNDE1MjExNGI5YmMifQ==</vt:lpwstr>
  </property>
  <property fmtid="{D5CDD505-2E9C-101B-9397-08002B2CF9AE}" pid="5" name="KSOTemplateDocerSaveRecord">
    <vt:lpwstr>eyJoZGlkIjoiZGU3ZDgyNzYxM2FkNGIzYTU2YjA3N2FhNmFiZGY3OTQiLCJ1c2VySWQiOiIzMjgyMDQzNzkifQ==</vt:lpwstr>
  </property>
</Properties>
</file>