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32E8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科技成果三维建模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宣传视频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制作项目</w:t>
      </w:r>
    </w:p>
    <w:p w14:paraId="486CDB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相关情况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及评分办法</w:t>
      </w:r>
    </w:p>
    <w:p w14:paraId="23CFDD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562" w:firstLineChars="200"/>
        <w:jc w:val="center"/>
        <w:textAlignment w:val="auto"/>
        <w:rPr>
          <w:rFonts w:hint="eastAsia" w:ascii="宋体" w:hAnsi="宋体" w:eastAsia="宋体" w:cstheme="minorEastAsia"/>
          <w:b/>
          <w:bCs/>
          <w:color w:val="000000"/>
          <w:sz w:val="28"/>
          <w:szCs w:val="28"/>
          <w:shd w:val="clear" w:color="auto" w:fill="FFFFFF"/>
        </w:rPr>
      </w:pPr>
    </w:p>
    <w:p w14:paraId="0CCF8F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shd w:val="clear" w:color="auto" w:fill="FFFFFF"/>
          <w:lang w:val="en-US" w:eastAsia="zh-CN"/>
        </w:rPr>
        <w:t>一、项目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基本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情况</w:t>
      </w:r>
    </w:p>
    <w:p w14:paraId="770720CD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项目名称：科技成果三维建模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宣传视频</w:t>
      </w:r>
      <w:r>
        <w:rPr>
          <w:rFonts w:hint="eastAsia" w:ascii="仿宋_GB2312" w:hAnsi="仿宋_GB2312" w:eastAsia="仿宋_GB2312" w:cs="仿宋_GB2312"/>
          <w:sz w:val="32"/>
          <w:szCs w:val="32"/>
        </w:rPr>
        <w:t>制作</w:t>
      </w:r>
    </w:p>
    <w:p w14:paraId="0BEAC86E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项目预算：98000元</w:t>
      </w:r>
    </w:p>
    <w:p w14:paraId="4BA3D29D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3.制作</w:t>
      </w:r>
      <w:r>
        <w:rPr>
          <w:rFonts w:hint="eastAsia" w:ascii="仿宋_GB2312" w:hAnsi="仿宋_GB2312" w:eastAsia="仿宋_GB2312" w:cs="仿宋_GB2312"/>
          <w:sz w:val="32"/>
          <w:szCs w:val="32"/>
        </w:rPr>
        <w:t>影片数量：2</w:t>
      </w:r>
    </w:p>
    <w:p w14:paraId="4FB760A6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4.单个</w:t>
      </w:r>
      <w:r>
        <w:rPr>
          <w:rFonts w:hint="eastAsia" w:ascii="仿宋_GB2312" w:hAnsi="仿宋_GB2312" w:eastAsia="仿宋_GB2312" w:cs="仿宋_GB2312"/>
          <w:sz w:val="32"/>
          <w:szCs w:val="32"/>
        </w:rPr>
        <w:t>影片时长：60秒-75秒</w:t>
      </w:r>
    </w:p>
    <w:p w14:paraId="0EE85AD1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</w:rPr>
        <w:t>基本要求：根据科技成果特性，将其技术原理利用三维建模方式演绎（其中一部影片需转为沉浸式多媒体展厅播放格式）</w:t>
      </w:r>
    </w:p>
    <w:p w14:paraId="01F06D9E">
      <w:pPr>
        <w:pStyle w:val="6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制作周期: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成交</w:t>
      </w:r>
      <w:r>
        <w:rPr>
          <w:rFonts w:hint="eastAsia" w:ascii="仿宋_GB2312" w:hAnsi="仿宋_GB2312" w:eastAsia="仿宋_GB2312" w:cs="仿宋_GB2312"/>
          <w:sz w:val="32"/>
          <w:szCs w:val="32"/>
        </w:rPr>
        <w:t>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个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工作</w:t>
      </w:r>
      <w:r>
        <w:rPr>
          <w:rFonts w:hint="eastAsia" w:ascii="仿宋_GB2312" w:hAnsi="仿宋_GB2312" w:eastAsia="仿宋_GB2312" w:cs="仿宋_GB2312"/>
          <w:sz w:val="32"/>
          <w:szCs w:val="32"/>
        </w:rPr>
        <w:t>日内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提</w:t>
      </w:r>
      <w:r>
        <w:rPr>
          <w:rFonts w:hint="eastAsia" w:ascii="仿宋_GB2312" w:hAnsi="仿宋_GB2312" w:eastAsia="仿宋_GB2312" w:cs="仿宋_GB2312"/>
          <w:sz w:val="32"/>
          <w:szCs w:val="32"/>
        </w:rPr>
        <w:t>交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</w:t>
      </w:r>
      <w:r>
        <w:rPr>
          <w:rFonts w:hint="eastAsia" w:ascii="仿宋_GB2312" w:hAnsi="仿宋_GB2312" w:eastAsia="仿宋_GB2312" w:cs="仿宋_GB2312"/>
          <w:sz w:val="32"/>
          <w:szCs w:val="32"/>
        </w:rPr>
        <w:t>片</w:t>
      </w:r>
    </w:p>
    <w:p w14:paraId="3EAB30E7">
      <w:pPr>
        <w:pStyle w:val="6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二、科技成果相关信息</w:t>
      </w:r>
    </w:p>
    <w:p w14:paraId="2CDCA278">
      <w:pPr>
        <w:pStyle w:val="6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（一）固废新生，链动未来 —— XXX团队打造纺织鞋服产业循环经济样板</w:t>
      </w:r>
    </w:p>
    <w:p w14:paraId="27AE1793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依托“十三五”“十四五”国家项目持续支持，福建师范大学XXX团队深耕纺织鞋服产业固废资源化利用领域，以技术创新破解产业痛点。团队率先开发含涤纺织服装固废梯次利用成套技术，以涤纶含量为核心依据，联动制革制鞋、石材加工等关联产业固废开展梯次耦合利用，构建起集聚区跨产业固废综合利用成套技术体系，成功打造多源固废绿色梯级耦合高值利用的 “泉州模式”。</w:t>
      </w:r>
    </w:p>
    <w:p w14:paraId="1E232103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进入 “十四五”，团队进一步拓展技术边界，聚焦纺织鞋服产业全链条提质增效与循环经济产业链构建。其中核心的 “纤维到纤维” 闭环回用技术，依托涤纶废弃物链易降解特性，通过微醇解 - 自缩聚技术对分子链进行精准解构与重构，实现纤维源聚酯的稳定纺丝加工。这套技术体系不仅完成了固废资源化的关键突破，更形成可复制、可推广的绿色低碳循环发展样板，为国内同类产业问题提供了高效解决方案。</w:t>
      </w:r>
    </w:p>
    <w:p w14:paraId="77F7315B">
      <w:pPr>
        <w:pStyle w:val="6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269865" cy="1713865"/>
            <wp:effectExtent l="0" t="0" r="6985" b="635"/>
            <wp:docPr id="1" name="图片 1" descr="b204bdaa4d86368a281efd5a8bf7f9f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204bdaa4d86368a281efd5a8bf7f9f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8B52F">
      <w:pPr>
        <w:pStyle w:val="6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273040" cy="2210435"/>
            <wp:effectExtent l="0" t="0" r="3810" b="18415"/>
            <wp:docPr id="2" name="图片 2" descr="fb89cb5f91881d0e133a1cf3b3339d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b89cb5f91881d0e133a1cf3b3339dab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21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EC6FD">
      <w:pPr>
        <w:pStyle w:val="6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（二）丝状真菌底盘：从“天然分解者”到“蛋白定制专家”</w:t>
      </w:r>
    </w:p>
    <w:p w14:paraId="7F032F5B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作为合成生物学领域的核心“细胞工厂”，福建师范大学秦丽娜教授团队研发的丝状真菌底盘菌株，其核心价值来源于其与生俱来的生物学特性。它拥有如同“天然分泌工厂”的丝状结构，具备大量分泌蛋白的卓越能力；作为自然界的“分解者”，它能分泌丰富酶类以降解木质纤维等复杂基质。</w:t>
      </w:r>
    </w:p>
    <w:p w14:paraId="4626D06D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依托团队二十余年的技术积累，通过自主构建的合成生物学平台，对菌株进行了系统性重塑：应用基因精准编辑、分泌通路重构与多尺度定向改造，在摒弃其天然酶系的同时，精准植入了甜味蛋白、胶原蛋白、蛛丝蛋白等高价值产物的合成途径。由此成功构建的新一代底盘菌株，不仅保留了强大的天然分泌能力，更具备了高分泌量、高纯度与低成本的产业化优势，彻底攻克了传统蛋白制造中产量低、提纯难、成本高的核心痛点。</w:t>
      </w:r>
    </w:p>
    <w:p w14:paraId="50A4E71F">
      <w:pPr>
        <w:pStyle w:val="6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2612390" cy="1468755"/>
            <wp:effectExtent l="0" t="0" r="16510" b="17145"/>
            <wp:docPr id="3" name="图片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12390" cy="146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drawing>
          <wp:inline distT="0" distB="0" distL="114300" distR="114300">
            <wp:extent cx="1988185" cy="1491615"/>
            <wp:effectExtent l="0" t="0" r="12065" b="13335"/>
            <wp:docPr id="4" name="图片 4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88185" cy="149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9CB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jc w:val="left"/>
        <w:textAlignment w:val="auto"/>
        <w:rPr>
          <w:rFonts w:hint="default" w:ascii="黑体" w:hAnsi="黑体" w:eastAsia="黑体" w:cs="黑体"/>
          <w:b w:val="0"/>
          <w:bCs w:val="0"/>
          <w:color w:val="00000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shd w:val="clear" w:color="auto" w:fill="FFFFFF"/>
          <w:lang w:val="en-US" w:eastAsia="zh-CN"/>
        </w:rPr>
        <w:t>三、</w:t>
      </w:r>
      <w:r>
        <w:rPr>
          <w:rFonts w:hint="eastAsia" w:ascii="黑体" w:hAnsi="黑体" w:eastAsia="黑体" w:cs="黑体"/>
          <w:color w:val="000000"/>
          <w:sz w:val="32"/>
          <w:szCs w:val="32"/>
          <w:shd w:val="clear" w:color="auto" w:fill="FFFFFF"/>
        </w:rPr>
        <w:t>影片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shd w:val="clear" w:color="auto" w:fill="FFFFFF"/>
          <w:lang w:val="en-US" w:eastAsia="zh-CN"/>
        </w:rPr>
        <w:t>参数</w:t>
      </w:r>
    </w:p>
    <w:p w14:paraId="1F7F5A4D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400MB/s以上码率，10BIT、4:2:2以上制作标准；</w:t>
      </w:r>
    </w:p>
    <w:p w14:paraId="426C4289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可下载变换2K、1080P、720P等高清版本；</w:t>
      </w:r>
    </w:p>
    <w:p w14:paraId="7F6B09E9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Davinci、Lustre或者Film Master校色流程；</w:t>
      </w:r>
    </w:p>
    <w:p w14:paraId="01C1A2C8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声音和画面同步。分辨率(像素)：1920×1080；帧数(帧/秒)：25-50；视频速率(kbps)：40000；音频设定（k/通道）：384；音频速率(kbps)：立体声、量化级 24bit、48KHz；</w:t>
      </w:r>
    </w:p>
    <w:p w14:paraId="1056A42C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</w:rPr>
        <w:t>格式：MP4；</w:t>
      </w:r>
    </w:p>
    <w:p w14:paraId="38EB0583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32"/>
          <w:szCs w:val="32"/>
        </w:rPr>
        <w:t>配音：专业配音员普通话配音；</w:t>
      </w:r>
    </w:p>
    <w:p w14:paraId="3B45D1BD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sz w:val="32"/>
          <w:szCs w:val="32"/>
        </w:rPr>
        <w:t>成片画面添加字幕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333B57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jc w:val="left"/>
        <w:textAlignment w:val="auto"/>
        <w:rPr>
          <w:rFonts w:hint="default" w:ascii="黑体" w:hAnsi="黑体" w:eastAsia="黑体" w:cs="黑体"/>
          <w:b w:val="0"/>
          <w:bCs w:val="0"/>
          <w:color w:val="00000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shd w:val="clear" w:color="auto" w:fill="FFFFFF"/>
          <w:lang w:val="en-US" w:eastAsia="zh-CN"/>
        </w:rPr>
        <w:t>四、评分办法</w:t>
      </w:r>
    </w:p>
    <w:p w14:paraId="20681D8B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本次比选采用综合评分法，依照以下标准进行评分</w:t>
      </w:r>
      <w:r>
        <w:rPr>
          <w:rFonts w:hint="eastAsia" w:ascii="仿宋_GB2312" w:hAnsi="仿宋_GB2312" w:eastAsia="仿宋_GB2312" w:cs="仿宋_GB2312"/>
          <w:sz w:val="28"/>
          <w:szCs w:val="28"/>
        </w:rPr>
        <w:t>：</w:t>
      </w:r>
    </w:p>
    <w:tbl>
      <w:tblPr>
        <w:tblStyle w:val="4"/>
        <w:tblW w:w="9058" w:type="dxa"/>
        <w:jc w:val="center"/>
        <w:tblBorders>
          <w:top w:val="thinThickSmallGap" w:color="auto" w:sz="18" w:space="0"/>
          <w:left w:val="thinThickSmallGap" w:color="auto" w:sz="18" w:space="0"/>
          <w:bottom w:val="thickThinSmallGap" w:color="auto" w:sz="18" w:space="0"/>
          <w:right w:val="thickThinSmallGap" w:color="auto" w:sz="1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9"/>
        <w:gridCol w:w="7462"/>
        <w:gridCol w:w="807"/>
      </w:tblGrid>
      <w:tr w14:paraId="40B2BB27">
        <w:tblPrEx>
          <w:tblBorders>
            <w:top w:val="thinThickSmallGap" w:color="auto" w:sz="18" w:space="0"/>
            <w:left w:val="thinThickSmallGap" w:color="auto" w:sz="18" w:space="0"/>
            <w:bottom w:val="thickThinSmallGap" w:color="auto" w:sz="18" w:space="0"/>
            <w:right w:val="thickThinSmallGap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tblHeader/>
          <w:jc w:val="center"/>
        </w:trPr>
        <w:tc>
          <w:tcPr>
            <w:tcW w:w="789" w:type="dxa"/>
            <w:vAlign w:val="center"/>
          </w:tcPr>
          <w:p w14:paraId="121E35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</w:rPr>
              <w:t>序号</w:t>
            </w:r>
          </w:p>
        </w:tc>
        <w:tc>
          <w:tcPr>
            <w:tcW w:w="7462" w:type="dxa"/>
            <w:vAlign w:val="center"/>
          </w:tcPr>
          <w:p w14:paraId="53E1E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</w:rPr>
              <w:t>评分界定</w:t>
            </w:r>
          </w:p>
        </w:tc>
        <w:tc>
          <w:tcPr>
            <w:tcW w:w="807" w:type="dxa"/>
            <w:vAlign w:val="center"/>
          </w:tcPr>
          <w:p w14:paraId="104D79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</w:rPr>
              <w:t>分值</w:t>
            </w:r>
          </w:p>
        </w:tc>
      </w:tr>
      <w:tr w14:paraId="105C8CB8">
        <w:tblPrEx>
          <w:tblBorders>
            <w:top w:val="thinThickSmallGap" w:color="auto" w:sz="18" w:space="0"/>
            <w:left w:val="thinThickSmallGap" w:color="auto" w:sz="18" w:space="0"/>
            <w:bottom w:val="thickThinSmallGap" w:color="auto" w:sz="18" w:space="0"/>
            <w:right w:val="thickThinSmallGap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  <w:jc w:val="center"/>
        </w:trPr>
        <w:tc>
          <w:tcPr>
            <w:tcW w:w="9058" w:type="dxa"/>
            <w:gridSpan w:val="3"/>
            <w:vAlign w:val="center"/>
          </w:tcPr>
          <w:p w14:paraId="5202BE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</w:rPr>
              <w:t>.技术因素（满分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CN"/>
              </w:rPr>
              <w:t>90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</w:rPr>
              <w:t>分）</w:t>
            </w:r>
          </w:p>
        </w:tc>
      </w:tr>
      <w:tr w14:paraId="574C18A9">
        <w:tblPrEx>
          <w:tblBorders>
            <w:top w:val="thinThickSmallGap" w:color="auto" w:sz="18" w:space="0"/>
            <w:left w:val="thinThickSmallGap" w:color="auto" w:sz="18" w:space="0"/>
            <w:bottom w:val="thickThinSmallGap" w:color="auto" w:sz="18" w:space="0"/>
            <w:right w:val="thickThinSmallGap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  <w:jc w:val="center"/>
        </w:trPr>
        <w:tc>
          <w:tcPr>
            <w:tcW w:w="789" w:type="dxa"/>
            <w:vAlign w:val="center"/>
          </w:tcPr>
          <w:p w14:paraId="4AF1DA5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  <w:t>.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462" w:type="dxa"/>
            <w:vAlign w:val="center"/>
          </w:tcPr>
          <w:p w14:paraId="41791EA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根据供应商提供的策划方案进行评分。</w:t>
            </w:r>
          </w:p>
          <w:p w14:paraId="62AFA36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策划方案贴合主题，艺术性和完整性强，得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21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-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0分；艺术性和完整性较强，得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11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-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分；艺术性和完整性弱，得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0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-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分。</w:t>
            </w:r>
          </w:p>
        </w:tc>
        <w:tc>
          <w:tcPr>
            <w:tcW w:w="807" w:type="dxa"/>
            <w:vAlign w:val="center"/>
          </w:tcPr>
          <w:p w14:paraId="50119D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lang w:val="en-US" w:eastAsia="zh-CN"/>
              </w:rPr>
              <w:t>30</w:t>
            </w:r>
          </w:p>
        </w:tc>
      </w:tr>
      <w:tr w14:paraId="5102BBB6">
        <w:tblPrEx>
          <w:tblBorders>
            <w:top w:val="thinThickSmallGap" w:color="auto" w:sz="18" w:space="0"/>
            <w:left w:val="thinThickSmallGap" w:color="auto" w:sz="18" w:space="0"/>
            <w:bottom w:val="thickThinSmallGap" w:color="auto" w:sz="18" w:space="0"/>
            <w:right w:val="thickThinSmallGap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789" w:type="dxa"/>
            <w:vAlign w:val="center"/>
          </w:tcPr>
          <w:p w14:paraId="75CE466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  <w:t>.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7462" w:type="dxa"/>
            <w:vAlign w:val="center"/>
          </w:tcPr>
          <w:p w14:paraId="684BE12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根据供应商提供的分镜头脚本进行评分。</w:t>
            </w:r>
          </w:p>
          <w:p w14:paraId="1ED5E42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分镜脚本贴合主题，艺术性和创新性强，得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21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-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30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分；基本贴合主题，艺术性和创新性较强，得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11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-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分；未贴合主题，艺术性和创新性弱，得0-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分。</w:t>
            </w:r>
          </w:p>
        </w:tc>
        <w:tc>
          <w:tcPr>
            <w:tcW w:w="807" w:type="dxa"/>
            <w:vAlign w:val="center"/>
          </w:tcPr>
          <w:p w14:paraId="713DB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lang w:val="en-US" w:eastAsia="zh-CN"/>
              </w:rPr>
              <w:t>30</w:t>
            </w:r>
          </w:p>
        </w:tc>
      </w:tr>
      <w:tr w14:paraId="74FA4C7F">
        <w:tblPrEx>
          <w:tblBorders>
            <w:top w:val="thinThickSmallGap" w:color="auto" w:sz="18" w:space="0"/>
            <w:left w:val="thinThickSmallGap" w:color="auto" w:sz="18" w:space="0"/>
            <w:bottom w:val="thickThinSmallGap" w:color="auto" w:sz="18" w:space="0"/>
            <w:right w:val="thickThinSmallGap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789" w:type="dxa"/>
            <w:vAlign w:val="center"/>
          </w:tcPr>
          <w:p w14:paraId="0F7D302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  <w:t>.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7462" w:type="dxa"/>
            <w:vAlign w:val="center"/>
          </w:tcPr>
          <w:p w14:paraId="223A1E5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供应商至少需要提供1个同类型三维建模视频作品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作为样片，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根据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样片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水准进行评分。</w:t>
            </w:r>
            <w:bookmarkStart w:id="0" w:name="_GoBack"/>
            <w:bookmarkEnd w:id="0"/>
          </w:p>
          <w:p w14:paraId="3384370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样片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艺术性和创新性优秀，得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21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-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30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分；艺术性和创新性较强，得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11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-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分；艺术性和创新性弱，得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0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-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分。</w:t>
            </w:r>
          </w:p>
        </w:tc>
        <w:tc>
          <w:tcPr>
            <w:tcW w:w="807" w:type="dxa"/>
            <w:vAlign w:val="center"/>
          </w:tcPr>
          <w:p w14:paraId="46DFD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lang w:val="en-US" w:eastAsia="zh-CN"/>
              </w:rPr>
              <w:t>30</w:t>
            </w:r>
          </w:p>
        </w:tc>
      </w:tr>
      <w:tr w14:paraId="304C47AD">
        <w:tblPrEx>
          <w:tblBorders>
            <w:top w:val="thinThickSmallGap" w:color="auto" w:sz="18" w:space="0"/>
            <w:left w:val="thinThickSmallGap" w:color="auto" w:sz="18" w:space="0"/>
            <w:bottom w:val="thickThinSmallGap" w:color="auto" w:sz="18" w:space="0"/>
            <w:right w:val="thickThinSmallGap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  <w:jc w:val="center"/>
        </w:trPr>
        <w:tc>
          <w:tcPr>
            <w:tcW w:w="9058" w:type="dxa"/>
            <w:gridSpan w:val="3"/>
            <w:vAlign w:val="center"/>
          </w:tcPr>
          <w:p w14:paraId="15B03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</w:rPr>
              <w:t>.价格因素（满分10分）</w:t>
            </w:r>
          </w:p>
        </w:tc>
      </w:tr>
      <w:tr w14:paraId="5ECC638A">
        <w:tblPrEx>
          <w:tblBorders>
            <w:top w:val="thinThickSmallGap" w:color="auto" w:sz="18" w:space="0"/>
            <w:left w:val="thinThickSmallGap" w:color="auto" w:sz="18" w:space="0"/>
            <w:bottom w:val="thickThinSmallGap" w:color="auto" w:sz="18" w:space="0"/>
            <w:right w:val="thickThinSmallGap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  <w:jc w:val="center"/>
        </w:trPr>
        <w:tc>
          <w:tcPr>
            <w:tcW w:w="789" w:type="dxa"/>
            <w:vAlign w:val="center"/>
          </w:tcPr>
          <w:p w14:paraId="3E37A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.1</w:t>
            </w:r>
          </w:p>
        </w:tc>
        <w:tc>
          <w:tcPr>
            <w:tcW w:w="7462" w:type="dxa"/>
            <w:vAlign w:val="center"/>
          </w:tcPr>
          <w:p w14:paraId="09773A6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采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取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低价优先法计算:满足报价文件要求且报价最低的为基准价；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价格因素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得分=（基准价/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供应商实际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报价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×10;最低报价不是成交的唯一依据。</w:t>
            </w:r>
          </w:p>
        </w:tc>
        <w:tc>
          <w:tcPr>
            <w:tcW w:w="807" w:type="dxa"/>
            <w:vAlign w:val="center"/>
          </w:tcPr>
          <w:p w14:paraId="2D2E3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10</w:t>
            </w:r>
          </w:p>
        </w:tc>
      </w:tr>
      <w:tr w14:paraId="0A412063">
        <w:tblPrEx>
          <w:tblBorders>
            <w:top w:val="thinThickSmallGap" w:color="auto" w:sz="18" w:space="0"/>
            <w:left w:val="thinThickSmallGap" w:color="auto" w:sz="18" w:space="0"/>
            <w:bottom w:val="thickThinSmallGap" w:color="auto" w:sz="18" w:space="0"/>
            <w:right w:val="thickThinSmallGap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9058" w:type="dxa"/>
            <w:gridSpan w:val="3"/>
            <w:vAlign w:val="center"/>
          </w:tcPr>
          <w:p w14:paraId="5591B0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各有效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供应商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的综合得分＝技术因素得分＋价格因素得分</w:t>
            </w:r>
          </w:p>
        </w:tc>
      </w:tr>
    </w:tbl>
    <w:p w14:paraId="05B314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420" w:firstLineChars="200"/>
        <w:textAlignment w:val="auto"/>
        <w:rPr>
          <w:rFonts w:hint="eastAsia" w:ascii="仿宋_GB2312" w:hAnsi="仿宋_GB2312" w:eastAsia="仿宋_GB2312" w:cs="仿宋_GB231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wYzM4M2E4ZDI4ZTkyZWE2MzkzMzFiYzVjZTcwZGUifQ=="/>
  </w:docVars>
  <w:rsids>
    <w:rsidRoot w:val="573F6441"/>
    <w:rsid w:val="000564FD"/>
    <w:rsid w:val="00226DB0"/>
    <w:rsid w:val="00280A31"/>
    <w:rsid w:val="004B56E9"/>
    <w:rsid w:val="00673C71"/>
    <w:rsid w:val="00707FD5"/>
    <w:rsid w:val="00715A8F"/>
    <w:rsid w:val="009409EB"/>
    <w:rsid w:val="00B021BF"/>
    <w:rsid w:val="00BF36A1"/>
    <w:rsid w:val="00C152DB"/>
    <w:rsid w:val="00C612E3"/>
    <w:rsid w:val="04D70E27"/>
    <w:rsid w:val="0CF84031"/>
    <w:rsid w:val="0F867E4B"/>
    <w:rsid w:val="14FE00B8"/>
    <w:rsid w:val="175207E1"/>
    <w:rsid w:val="1A644610"/>
    <w:rsid w:val="1F9E127B"/>
    <w:rsid w:val="223A0697"/>
    <w:rsid w:val="3AEF1D20"/>
    <w:rsid w:val="432A4E93"/>
    <w:rsid w:val="440F6F8F"/>
    <w:rsid w:val="462B7935"/>
    <w:rsid w:val="479229E6"/>
    <w:rsid w:val="573F6441"/>
    <w:rsid w:val="5A952452"/>
    <w:rsid w:val="5C4E4564"/>
    <w:rsid w:val="5D96442B"/>
    <w:rsid w:val="61D76900"/>
    <w:rsid w:val="65EB6672"/>
    <w:rsid w:val="66E12A87"/>
    <w:rsid w:val="683E0D0D"/>
    <w:rsid w:val="71C54FAD"/>
    <w:rsid w:val="772E3003"/>
    <w:rsid w:val="79E3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qFormat/>
    <w:uiPriority w:val="99"/>
    <w:rPr>
      <w:rFonts w:ascii="宋体" w:hAnsi="Calibri" w:cs="宋体"/>
      <w:sz w:val="18"/>
      <w:szCs w:val="18"/>
    </w:rPr>
  </w:style>
  <w:style w:type="paragraph" w:styleId="3">
    <w:name w:val="annotation text"/>
    <w:basedOn w:val="1"/>
    <w:qFormat/>
    <w:uiPriority w:val="99"/>
    <w:pPr>
      <w:jc w:val="left"/>
    </w:pPr>
  </w:style>
  <w:style w:type="paragraph" w:styleId="6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7">
    <w:name w:val="正文 A"/>
    <w:qFormat/>
    <w:uiPriority w:val="0"/>
    <w:pPr>
      <w:widowControl w:val="0"/>
      <w:jc w:val="both"/>
    </w:pPr>
    <w:rPr>
      <w:rFonts w:ascii="仿宋_GB2312" w:hAnsi="仿宋_GB2312" w:eastAsia="仿宋_GB2312" w:cs="仿宋_GB2312"/>
      <w:color w:val="000000"/>
      <w:kern w:val="2"/>
      <w:sz w:val="32"/>
      <w:szCs w:val="32"/>
      <w:u w:color="000000"/>
      <w:lang w:val="en-US" w:eastAsia="zh-CN" w:bidi="ar-SA"/>
    </w:rPr>
  </w:style>
  <w:style w:type="paragraph" w:customStyle="1" w:styleId="8">
    <w:name w:val="HZY表格正文"/>
    <w:qFormat/>
    <w:uiPriority w:val="0"/>
    <w:pPr>
      <w:spacing w:line="400" w:lineRule="exact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9">
    <w:name w:val="列出段落1"/>
    <w:basedOn w:val="1"/>
    <w:qFormat/>
    <w:uiPriority w:val="34"/>
    <w:pPr>
      <w:ind w:firstLine="420" w:firstLineChars="200"/>
    </w:pPr>
    <w:rPr>
      <w:rFonts w:hAnsi="Arial Unicode MS" w:eastAsia="Times New Roman" w:cs="Arial Unicode MS"/>
      <w:color w:val="000000"/>
      <w:szCs w:val="21"/>
      <w:u w:color="00000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1426</Words>
  <Characters>1582</Characters>
  <Lines>37</Lines>
  <Paragraphs>48</Paragraphs>
  <TotalTime>4</TotalTime>
  <ScaleCrop>false</ScaleCrop>
  <LinksUpToDate>false</LinksUpToDate>
  <CharactersWithSpaces>1593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2023-11-15T01:44:00Z</dcterms:created>
  <dc:creator>LXF</dc:creator>
  <cp:lastModifiedBy>LXF</cp:lastModifiedBy>
  <dcterms:modified xsi:type="dcterms:W3CDTF">2025-11-13T09:20:19Z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C7CC4B35D2E44E02935FB409F5F75C26_13</vt:lpwstr>
  </property>
  <property fmtid="{D5CDD505-2E9C-101B-9397-08002B2CF9AE}" pid="4" name="KSOTemplateDocerSaveRecord">
    <vt:lpwstr>eyJoZGlkIjoiYzA3YjcwNzcwZmQ1N2ZiYWI1ZTE4ZDNlMGYxNGQyYzAiLCJ1c2VySWQiOiI2NDI5MzY3NDQifQ==</vt:lpwstr>
  </property>
</Properties>
</file>