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3BC89">
      <w:pPr>
        <w:pStyle w:val="4"/>
        <w:snapToGrid/>
        <w:spacing w:before="0" w:beforeAutospacing="0" w:after="0" w:afterAutospacing="0" w:line="381" w:lineRule="exact"/>
        <w:ind w:left="4800" w:leftChars="0" w:right="0" w:hangingChars="1500"/>
        <w:jc w:val="left"/>
        <w:rPr>
          <w:rFonts w:hint="eastAsia"/>
          <w:b w:val="0"/>
          <w:i w:val="0"/>
          <w:spacing w:val="0"/>
          <w:w w:val="100"/>
          <w:sz w:val="32"/>
          <w:lang w:val="en-US" w:eastAsia="zh-CN"/>
        </w:rPr>
      </w:pPr>
      <w:r>
        <w:rPr>
          <w:rFonts w:hint="eastAsia"/>
          <w:b w:val="0"/>
          <w:i w:val="0"/>
          <w:spacing w:val="0"/>
          <w:w w:val="100"/>
          <w:sz w:val="32"/>
          <w:lang w:val="en-US" w:eastAsia="zh-CN"/>
        </w:rPr>
        <w:t xml:space="preserve">附件：                </w:t>
      </w:r>
    </w:p>
    <w:p w14:paraId="346C50DF">
      <w:pPr>
        <w:keepLines w:val="0"/>
        <w:snapToGrid/>
        <w:spacing w:before="0" w:beforeAutospacing="0" w:after="0" w:afterAutospacing="0" w:line="480" w:lineRule="exact"/>
        <w:ind w:left="0" w:right="0" w:firstLine="562" w:firstLineChars="200"/>
        <w:jc w:val="center"/>
        <w:rPr>
          <w:rFonts w:hint="eastAsia" w:ascii="Calibri" w:hAnsi="Calibri" w:eastAsia="宋体"/>
          <w:b/>
          <w:bCs/>
          <w:kern w:val="2"/>
          <w:sz w:val="28"/>
          <w:szCs w:val="28"/>
          <w:lang w:val="en-US" w:eastAsia="zh-CN"/>
        </w:rPr>
      </w:pPr>
      <w:r>
        <w:rPr>
          <w:rFonts w:hint="eastAsia" w:ascii="Calibri" w:hAnsi="Calibri" w:eastAsia="宋体"/>
          <w:b/>
          <w:bCs/>
          <w:kern w:val="2"/>
          <w:sz w:val="28"/>
          <w:szCs w:val="28"/>
          <w:lang w:val="en-US" w:eastAsia="zh-CN"/>
        </w:rPr>
        <w:t>202</w:t>
      </w:r>
      <w:r>
        <w:rPr>
          <w:rFonts w:hint="eastAsia" w:ascii="Calibri" w:hAnsi="Calibri"/>
          <w:b/>
          <w:bCs/>
          <w:kern w:val="2"/>
          <w:sz w:val="28"/>
          <w:szCs w:val="28"/>
          <w:lang w:val="en-US" w:eastAsia="zh-CN"/>
        </w:rPr>
        <w:t>5</w:t>
      </w:r>
      <w:r>
        <w:rPr>
          <w:rFonts w:hint="eastAsia" w:ascii="Calibri" w:hAnsi="Calibri" w:eastAsia="宋体"/>
          <w:b/>
          <w:bCs/>
          <w:kern w:val="2"/>
          <w:sz w:val="28"/>
          <w:szCs w:val="28"/>
          <w:lang w:val="en-US" w:eastAsia="zh-CN"/>
        </w:rPr>
        <w:t>-202</w:t>
      </w:r>
      <w:r>
        <w:rPr>
          <w:rFonts w:hint="eastAsia" w:ascii="Calibri" w:hAnsi="Calibri"/>
          <w:b/>
          <w:bCs/>
          <w:kern w:val="2"/>
          <w:sz w:val="28"/>
          <w:szCs w:val="28"/>
          <w:lang w:val="en-US" w:eastAsia="zh-CN"/>
        </w:rPr>
        <w:t>6</w:t>
      </w:r>
      <w:r>
        <w:rPr>
          <w:rFonts w:hint="eastAsia" w:ascii="Calibri" w:hAnsi="Calibri" w:eastAsia="宋体"/>
          <w:b/>
          <w:bCs/>
          <w:kern w:val="2"/>
          <w:sz w:val="28"/>
          <w:szCs w:val="28"/>
          <w:lang w:val="en-US" w:eastAsia="zh-CN"/>
        </w:rPr>
        <w:t>学年第</w:t>
      </w:r>
      <w:r>
        <w:rPr>
          <w:rFonts w:hint="eastAsia" w:ascii="Calibri" w:hAnsi="Calibri"/>
          <w:b/>
          <w:bCs/>
          <w:kern w:val="2"/>
          <w:sz w:val="28"/>
          <w:szCs w:val="28"/>
          <w:lang w:val="en-US" w:eastAsia="zh-CN"/>
        </w:rPr>
        <w:t>二</w:t>
      </w:r>
      <w:r>
        <w:rPr>
          <w:rFonts w:hint="eastAsia" w:ascii="Calibri" w:hAnsi="Calibri" w:eastAsia="宋体"/>
          <w:b/>
          <w:bCs/>
          <w:kern w:val="2"/>
          <w:sz w:val="28"/>
          <w:szCs w:val="28"/>
          <w:lang w:val="en-US" w:eastAsia="zh-CN"/>
        </w:rPr>
        <w:t>学期</w:t>
      </w:r>
      <w:r>
        <w:rPr>
          <w:rFonts w:hint="eastAsia" w:ascii="Calibri" w:hAnsi="Calibri" w:eastAsia="宋体"/>
          <w:b/>
          <w:bCs/>
          <w:kern w:val="2"/>
          <w:sz w:val="28"/>
          <w:szCs w:val="28"/>
          <w:lang w:eastAsia="zh-CN"/>
        </w:rPr>
        <w:t>仓旗校区自营餐厅（含宿舍公共区域）灭鼠、灭蟑螂每周一次消杀服务采购项目参数要求</w:t>
      </w:r>
    </w:p>
    <w:p w14:paraId="5B4A1EB3">
      <w:pPr>
        <w:widowControl w:val="0"/>
        <w:ind w:firstLine="562" w:firstLineChars="200"/>
        <w:jc w:val="center"/>
        <w:rPr>
          <w:rFonts w:hint="eastAsia" w:ascii="Calibri" w:hAnsi="Calibri" w:eastAsia="宋体"/>
          <w:b/>
          <w:bCs/>
          <w:kern w:val="2"/>
          <w:sz w:val="28"/>
          <w:szCs w:val="28"/>
          <w:lang w:eastAsia="zh-CN"/>
        </w:rPr>
      </w:pPr>
    </w:p>
    <w:p w14:paraId="2DFA14AC">
      <w:pPr>
        <w:pStyle w:val="13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0" w:beforeAutospacing="0" w:after="0" w:afterAutospacing="0" w:line="420" w:lineRule="exact"/>
        <w:ind w:left="0" w:right="0"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sz w:val="28"/>
          <w:szCs w:val="28"/>
          <w:lang w:val="en-US" w:eastAsia="zh-CN"/>
        </w:rPr>
        <w:t>饮食服务中心</w:t>
      </w:r>
      <w:r>
        <w:rPr>
          <w:rFonts w:hint="eastAsia" w:ascii="仿宋" w:hAnsi="仿宋" w:eastAsia="仿宋"/>
          <w:b w:val="0"/>
          <w:i w:val="0"/>
          <w:spacing w:val="0"/>
          <w:w w:val="100"/>
          <w:kern w:val="2"/>
          <w:sz w:val="28"/>
          <w:szCs w:val="28"/>
          <w:lang w:val="en-US" w:eastAsia="zh-CN" w:bidi="ar-SA"/>
        </w:rPr>
        <w:t>拟对仓旗校区自营餐厅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（含宿舍公共区域）</w:t>
      </w:r>
      <w:r>
        <w:rPr>
          <w:rFonts w:hint="eastAsia" w:ascii="仿宋" w:hAnsi="仿宋" w:eastAsia="仿宋"/>
          <w:b w:val="0"/>
          <w:i w:val="0"/>
          <w:spacing w:val="0"/>
          <w:w w:val="100"/>
          <w:kern w:val="2"/>
          <w:sz w:val="28"/>
          <w:szCs w:val="28"/>
          <w:lang w:val="en-US" w:eastAsia="zh-CN" w:bidi="ar-SA"/>
        </w:rPr>
        <w:t>环境进行灭鼠、灭蟑螂消杀服务，服务期限：</w:t>
      </w:r>
      <w:r>
        <w:rPr>
          <w:rFonts w:hint="eastAsia" w:ascii="仿宋" w:hAnsi="仿宋" w:eastAsia="仿宋" w:cs="仿宋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t>2026年3月2日-2026年7月 5日（共计18周）</w:t>
      </w:r>
      <w:r>
        <w:rPr>
          <w:rFonts w:hint="eastAsia" w:ascii="仿宋" w:hAnsi="仿宋" w:eastAsia="仿宋"/>
          <w:b w:val="0"/>
          <w:i w:val="0"/>
          <w:spacing w:val="0"/>
          <w:w w:val="100"/>
          <w:kern w:val="2"/>
          <w:sz w:val="28"/>
          <w:szCs w:val="28"/>
          <w:lang w:val="en-US" w:eastAsia="zh-CN" w:bidi="ar-SA"/>
        </w:rPr>
        <w:t>，每周消杀1次，结算方式服务期满验收合格后结算。参数要求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sz w:val="28"/>
          <w:szCs w:val="28"/>
          <w:lang w:val="en-US" w:eastAsia="zh-CN"/>
        </w:rPr>
        <w:t>如下：</w:t>
      </w:r>
    </w:p>
    <w:p w14:paraId="66312384">
      <w:pPr>
        <w:widowControl w:val="0"/>
        <w:ind w:firstLine="840" w:firstLineChars="300"/>
        <w:jc w:val="both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一、消杀餐厅数量</w:t>
      </w:r>
    </w:p>
    <w:tbl>
      <w:tblPr>
        <w:tblStyle w:val="2"/>
        <w:tblW w:w="83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8"/>
        <w:gridCol w:w="2468"/>
        <w:gridCol w:w="3288"/>
        <w:gridCol w:w="1744"/>
      </w:tblGrid>
      <w:tr w14:paraId="383EE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878" w:type="dxa"/>
            <w:vAlign w:val="center"/>
          </w:tcPr>
          <w:p w14:paraId="4333C747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2468" w:type="dxa"/>
            <w:vAlign w:val="center"/>
          </w:tcPr>
          <w:p w14:paraId="60F01F07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楼层</w:t>
            </w:r>
          </w:p>
        </w:tc>
        <w:tc>
          <w:tcPr>
            <w:tcW w:w="3288" w:type="dxa"/>
            <w:vAlign w:val="center"/>
          </w:tcPr>
          <w:p w14:paraId="31446782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餐厅</w:t>
            </w:r>
          </w:p>
        </w:tc>
        <w:tc>
          <w:tcPr>
            <w:tcW w:w="1744" w:type="dxa"/>
            <w:vAlign w:val="center"/>
          </w:tcPr>
          <w:p w14:paraId="145B5D48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餐厅面积</w:t>
            </w:r>
          </w:p>
          <w:p w14:paraId="182B6767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（平方米）</w:t>
            </w:r>
          </w:p>
        </w:tc>
      </w:tr>
      <w:tr w14:paraId="0B901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878" w:type="dxa"/>
            <w:vAlign w:val="center"/>
          </w:tcPr>
          <w:p w14:paraId="35160E19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2468" w:type="dxa"/>
            <w:vAlign w:val="center"/>
          </w:tcPr>
          <w:p w14:paraId="155DEA43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旗山校区桃苑一楼</w:t>
            </w:r>
          </w:p>
        </w:tc>
        <w:tc>
          <w:tcPr>
            <w:tcW w:w="3288" w:type="dxa"/>
            <w:vAlign w:val="center"/>
          </w:tcPr>
          <w:p w14:paraId="566DBAA1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嘉树园餐厅大伙区域</w:t>
            </w:r>
          </w:p>
        </w:tc>
        <w:tc>
          <w:tcPr>
            <w:tcW w:w="1744" w:type="dxa"/>
            <w:vAlign w:val="center"/>
          </w:tcPr>
          <w:p w14:paraId="141D26A5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约700</w:t>
            </w:r>
          </w:p>
        </w:tc>
      </w:tr>
      <w:tr w14:paraId="3AAD7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878" w:type="dxa"/>
            <w:vAlign w:val="center"/>
          </w:tcPr>
          <w:p w14:paraId="27D9DB35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2468" w:type="dxa"/>
            <w:vAlign w:val="center"/>
          </w:tcPr>
          <w:p w14:paraId="73D36777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旗山校区兰苑一楼</w:t>
            </w:r>
          </w:p>
        </w:tc>
        <w:tc>
          <w:tcPr>
            <w:tcW w:w="3288" w:type="dxa"/>
            <w:vAlign w:val="center"/>
          </w:tcPr>
          <w:p w14:paraId="06F6F885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随园餐厅</w:t>
            </w:r>
          </w:p>
        </w:tc>
        <w:tc>
          <w:tcPr>
            <w:tcW w:w="1744" w:type="dxa"/>
            <w:vAlign w:val="center"/>
          </w:tcPr>
          <w:p w14:paraId="33E1C90C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约2600</w:t>
            </w:r>
          </w:p>
        </w:tc>
      </w:tr>
      <w:tr w14:paraId="01F9A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878" w:type="dxa"/>
            <w:vAlign w:val="center"/>
          </w:tcPr>
          <w:p w14:paraId="69DB93F0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2468" w:type="dxa"/>
            <w:vAlign w:val="center"/>
          </w:tcPr>
          <w:p w14:paraId="674D7812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旗山校区行政楼一楼附属楼</w:t>
            </w:r>
          </w:p>
        </w:tc>
        <w:tc>
          <w:tcPr>
            <w:tcW w:w="3288" w:type="dxa"/>
            <w:vAlign w:val="center"/>
          </w:tcPr>
          <w:p w14:paraId="2168CE5B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旗山教工餐厅</w:t>
            </w:r>
          </w:p>
        </w:tc>
        <w:tc>
          <w:tcPr>
            <w:tcW w:w="1744" w:type="dxa"/>
            <w:vAlign w:val="center"/>
          </w:tcPr>
          <w:p w14:paraId="40A23D32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约500</w:t>
            </w:r>
          </w:p>
        </w:tc>
      </w:tr>
      <w:tr w14:paraId="771DA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878" w:type="dxa"/>
            <w:vAlign w:val="center"/>
          </w:tcPr>
          <w:p w14:paraId="4186D0A0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2468" w:type="dxa"/>
            <w:vAlign w:val="center"/>
          </w:tcPr>
          <w:p w14:paraId="0A9FB144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仓山校区高区1号楼一楼</w:t>
            </w:r>
          </w:p>
        </w:tc>
        <w:tc>
          <w:tcPr>
            <w:tcW w:w="3288" w:type="dxa"/>
            <w:vAlign w:val="center"/>
          </w:tcPr>
          <w:p w14:paraId="404652C6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聚星园餐厅</w:t>
            </w:r>
          </w:p>
        </w:tc>
        <w:tc>
          <w:tcPr>
            <w:tcW w:w="1744" w:type="dxa"/>
            <w:vAlign w:val="center"/>
          </w:tcPr>
          <w:p w14:paraId="5E8E6418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约2152</w:t>
            </w:r>
          </w:p>
        </w:tc>
      </w:tr>
      <w:tr w14:paraId="0E550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878" w:type="dxa"/>
            <w:vAlign w:val="center"/>
          </w:tcPr>
          <w:p w14:paraId="36FCC902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备注</w:t>
            </w:r>
          </w:p>
        </w:tc>
        <w:tc>
          <w:tcPr>
            <w:tcW w:w="7500" w:type="dxa"/>
            <w:gridSpan w:val="3"/>
            <w:vAlign w:val="center"/>
          </w:tcPr>
          <w:p w14:paraId="6077CC2B">
            <w:pPr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餐厅宿舍公共区域须涵盖一并消杀。</w:t>
            </w:r>
          </w:p>
        </w:tc>
      </w:tr>
    </w:tbl>
    <w:p w14:paraId="4CBED6EC">
      <w:pPr>
        <w:tabs>
          <w:tab w:val="center" w:pos="4850"/>
        </w:tabs>
        <w:spacing w:line="490" w:lineRule="exact"/>
        <w:ind w:firstLine="840" w:firstLineChars="3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二、防治目标要求</w:t>
      </w:r>
    </w:p>
    <w:tbl>
      <w:tblPr>
        <w:tblStyle w:val="1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1"/>
        <w:gridCol w:w="6238"/>
      </w:tblGrid>
      <w:tr w14:paraId="57EFE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201" w:type="dxa"/>
            <w:vAlign w:val="top"/>
          </w:tcPr>
          <w:p w14:paraId="114F3CE9"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防治标靶害虫</w:t>
            </w:r>
          </w:p>
        </w:tc>
        <w:tc>
          <w:tcPr>
            <w:tcW w:w="6238" w:type="dxa"/>
            <w:vAlign w:val="top"/>
          </w:tcPr>
          <w:p w14:paraId="0B318D6C"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防治目标</w:t>
            </w:r>
          </w:p>
        </w:tc>
      </w:tr>
      <w:tr w14:paraId="20A2E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2201" w:type="dxa"/>
            <w:vAlign w:val="top"/>
          </w:tcPr>
          <w:p w14:paraId="78950F16"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鼠类</w:t>
            </w:r>
          </w:p>
        </w:tc>
        <w:tc>
          <w:tcPr>
            <w:tcW w:w="6238" w:type="dxa"/>
            <w:vAlign w:val="top"/>
          </w:tcPr>
          <w:p w14:paraId="00320B71"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国标《GB/T 27770-2011 病媒朱物密度防治水平鼠类》规定的单位鼠密度防治标准</w:t>
            </w: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A级</w:t>
            </w:r>
          </w:p>
        </w:tc>
      </w:tr>
      <w:tr w14:paraId="45C2B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2201" w:type="dxa"/>
            <w:vAlign w:val="top"/>
          </w:tcPr>
          <w:p w14:paraId="6D176F3E"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蜚蠊</w:t>
            </w:r>
          </w:p>
        </w:tc>
        <w:tc>
          <w:tcPr>
            <w:tcW w:w="6238" w:type="dxa"/>
            <w:vAlign w:val="top"/>
          </w:tcPr>
          <w:p w14:paraId="0CC02ECE">
            <w:pPr>
              <w:widowControl w:val="0"/>
              <w:tabs>
                <w:tab w:val="center" w:pos="4850"/>
              </w:tabs>
              <w:spacing w:line="490" w:lineRule="exact"/>
              <w:jc w:val="center"/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国标《GB/T 27773-2011 病媒生物密度控制水平蜚蠊》</w:t>
            </w: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规</w:t>
            </w: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定的单位蟑螂密度防治标准</w:t>
            </w:r>
            <w:r>
              <w:rPr>
                <w:rFonts w:hint="eastAsia"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A</w:t>
            </w:r>
            <w:r>
              <w:rPr>
                <w:rFonts w:ascii="仿宋" w:hAnsi="仿宋" w:eastAsia="仿宋"/>
                <w:b w:val="0"/>
                <w:bCs w:val="0"/>
                <w:i w:val="0"/>
                <w:color w:val="000000"/>
                <w:spacing w:val="0"/>
                <w:w w:val="100"/>
                <w:kern w:val="0"/>
                <w:sz w:val="28"/>
                <w:szCs w:val="28"/>
                <w:lang w:val="en-US" w:eastAsia="zh-CN" w:bidi="ar"/>
              </w:rPr>
              <w:t>級</w:t>
            </w:r>
          </w:p>
        </w:tc>
      </w:tr>
    </w:tbl>
    <w:p w14:paraId="4FA07F20">
      <w:pPr>
        <w:pStyle w:val="13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napToGrid/>
        <w:spacing w:before="0" w:beforeAutospacing="0" w:after="0" w:afterAutospacing="0" w:line="420" w:lineRule="exact"/>
        <w:ind w:left="0" w:right="0"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三、服务执行标准</w:t>
      </w:r>
    </w:p>
    <w:p w14:paraId="2786E784"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1. 消杀频次：每周开展一次全面消杀，严格按计划执行。若发现虫害迹象，24小时内立即响应处理。</w:t>
      </w:r>
    </w:p>
    <w:p w14:paraId="39179EEE"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2. 巡查要点：根据有害生物活动迹象适时增加巡查频次，仔细统计害虫数量、留意其活动规律，为后续消杀提供数据支撑。</w:t>
      </w:r>
    </w:p>
    <w:p w14:paraId="0EB55FF4"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3. 提前规划：每月提前1个月与餐厅沟通，明确次月消杀药品、方式、流程及时间，共同制定作业计划，减少对餐厅运营的影响。</w:t>
      </w:r>
    </w:p>
    <w:p w14:paraId="6991C26C">
      <w:pPr>
        <w:widowControl w:val="0"/>
        <w:ind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4.</w:t>
      </w:r>
      <w:r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在服务中使用的化学药剂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需</w:t>
      </w:r>
      <w:r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三证齐全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，</w:t>
      </w:r>
      <w:r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包括药剂的MSDS</w:t>
      </w: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，药剂的储存、运输和使用，均由专人严格按安全规程操作，确保使用安全。</w:t>
      </w:r>
    </w:p>
    <w:p w14:paraId="7A4ED0EB">
      <w:pPr>
        <w:keepLines w:val="0"/>
        <w:snapToGrid/>
        <w:spacing w:before="0" w:beforeAutospacing="0" w:after="0" w:afterAutospacing="0" w:line="420" w:lineRule="exact"/>
        <w:ind w:left="480" w:leftChars="200" w:right="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四、效果评估反馈</w:t>
      </w:r>
    </w:p>
    <w:p w14:paraId="1827E8E1">
      <w:pPr>
        <w:keepLines w:val="0"/>
        <w:snapToGrid/>
        <w:spacing w:before="0" w:beforeAutospacing="0" w:after="0" w:afterAutospacing="0" w:line="420" w:lineRule="exact"/>
        <w:ind w:left="480" w:leftChars="200" w:right="0" w:firstLine="560" w:firstLineChars="20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每次消杀都详细记录时间、地点、用药及害虫处理情况。定期提供虫害设施布局图、点位点检表和趋势分析报告。针对应急情况，及时汇报处理过程与结果。发现未知害虫，迅速鉴定并反馈给餐厅，全方位保障餐厅虫害防控效果。</w:t>
      </w:r>
    </w:p>
    <w:p w14:paraId="1AB2151C">
      <w:pPr>
        <w:keepLines w:val="0"/>
        <w:snapToGrid/>
        <w:spacing w:before="0" w:beforeAutospacing="0" w:after="0" w:afterAutospacing="0" w:line="420" w:lineRule="exact"/>
        <w:ind w:left="480" w:leftChars="200" w:right="0"/>
        <w:jc w:val="left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</w:p>
    <w:p w14:paraId="5DAF9C67">
      <w:pPr>
        <w:keepLines w:val="0"/>
        <w:snapToGrid/>
        <w:spacing w:before="0" w:beforeAutospacing="0" w:after="0" w:afterAutospacing="0" w:line="420" w:lineRule="exact"/>
        <w:ind w:left="480" w:leftChars="200" w:right="0"/>
        <w:jc w:val="left"/>
        <w:rPr>
          <w:rFonts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</w:p>
    <w:p w14:paraId="53B51B2D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3723CC3C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3DB0066A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493B04C0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76538579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24ABC9ED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18F0ADDE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5A3E43D5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72FBA507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312D9544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2CE03AC9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77941260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3DA6BC33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4F3D3FA2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333C65AA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35C51C1E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72959727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7689B7D6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6BC9E65F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47EF853F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2423B067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134D51B4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0F499E61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10674E02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2187F545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3DEE94B0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1B5D4CD9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15E1CFC4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26BD05E4">
      <w:pPr>
        <w:widowControl w:val="0"/>
        <w:ind w:firstLine="560" w:firstLineChars="200"/>
        <w:jc w:val="left"/>
        <w:rPr>
          <w:sz w:val="28"/>
          <w:lang w:val="en-US" w:eastAsia="zh-CN"/>
        </w:rPr>
      </w:pPr>
    </w:p>
    <w:p w14:paraId="5034AFE0">
      <w:pPr>
        <w:jc w:val="center"/>
        <w:rPr>
          <w:rFonts w:hint="eastAsia" w:ascii="Times New Roman" w:hAnsi="Times New Roman" w:eastAsia="宋体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报</w:t>
      </w:r>
      <w:r>
        <w:rPr>
          <w:rFonts w:hint="eastAsia" w:ascii="Times New Roman" w:hAnsi="Times New Roman" w:eastAsia="宋体"/>
          <w:b/>
          <w:bCs/>
          <w:sz w:val="44"/>
          <w:szCs w:val="44"/>
          <w:lang w:eastAsia="zh-CN"/>
        </w:rPr>
        <w:t>价一览表</w:t>
      </w:r>
      <w:r>
        <w:rPr>
          <w:rFonts w:ascii="仿宋_GB2312" w:hAnsi="宋体" w:eastAsia="仿宋_GB2312"/>
          <w:b/>
          <w:bCs/>
          <w:color w:val="000000"/>
          <w:sz w:val="27"/>
          <w:szCs w:val="27"/>
        </w:rPr>
        <w:t>（含税价</w:t>
      </w:r>
      <w:r>
        <w:rPr>
          <w:rFonts w:hint="eastAsia" w:ascii="仿宋_GB2312" w:hAnsi="宋体" w:eastAsia="仿宋_GB2312"/>
          <w:b/>
          <w:bCs/>
          <w:color w:val="000000"/>
          <w:sz w:val="27"/>
          <w:szCs w:val="27"/>
          <w:lang w:eastAsia="zh-CN"/>
        </w:rPr>
        <w:t>）</w:t>
      </w:r>
    </w:p>
    <w:p w14:paraId="61B72124">
      <w:pPr>
        <w:jc w:val="center"/>
        <w:rPr>
          <w:rFonts w:hint="eastAsia" w:ascii="Times New Roman" w:hAnsi="Times New Roman" w:eastAsia="宋体"/>
          <w:sz w:val="44"/>
          <w:szCs w:val="44"/>
          <w:lang w:eastAsia="zh-CN"/>
        </w:rPr>
      </w:pPr>
    </w:p>
    <w:tbl>
      <w:tblPr>
        <w:tblStyle w:val="2"/>
        <w:tblW w:w="91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8"/>
        <w:gridCol w:w="2566"/>
        <w:gridCol w:w="1581"/>
        <w:gridCol w:w="1327"/>
        <w:gridCol w:w="1388"/>
      </w:tblGrid>
      <w:tr w14:paraId="46833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2238" w:type="dxa"/>
            <w:vAlign w:val="center"/>
          </w:tcPr>
          <w:p w14:paraId="794A7715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楼层</w:t>
            </w:r>
          </w:p>
        </w:tc>
        <w:tc>
          <w:tcPr>
            <w:tcW w:w="2566" w:type="dxa"/>
            <w:vAlign w:val="center"/>
          </w:tcPr>
          <w:p w14:paraId="3BCAAE25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餐厅</w:t>
            </w:r>
          </w:p>
        </w:tc>
        <w:tc>
          <w:tcPr>
            <w:tcW w:w="1581" w:type="dxa"/>
            <w:vAlign w:val="center"/>
          </w:tcPr>
          <w:p w14:paraId="447F9DE8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餐厅面积</w:t>
            </w:r>
          </w:p>
          <w:p w14:paraId="2391DA20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（平方米）</w:t>
            </w:r>
          </w:p>
        </w:tc>
        <w:tc>
          <w:tcPr>
            <w:tcW w:w="1327" w:type="dxa"/>
            <w:vAlign w:val="center"/>
          </w:tcPr>
          <w:p w14:paraId="4D891963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单价</w:t>
            </w:r>
          </w:p>
          <w:p w14:paraId="698A249C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（元）</w:t>
            </w:r>
          </w:p>
        </w:tc>
        <w:tc>
          <w:tcPr>
            <w:tcW w:w="1388" w:type="dxa"/>
            <w:vAlign w:val="center"/>
          </w:tcPr>
          <w:p w14:paraId="4A5A0C5D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金额</w:t>
            </w:r>
          </w:p>
          <w:p w14:paraId="639F49CC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（元）</w:t>
            </w:r>
          </w:p>
        </w:tc>
      </w:tr>
      <w:tr w14:paraId="37DED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2238" w:type="dxa"/>
            <w:vAlign w:val="center"/>
          </w:tcPr>
          <w:p w14:paraId="74A6037D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旗山校区桃苑一楼</w:t>
            </w:r>
          </w:p>
        </w:tc>
        <w:tc>
          <w:tcPr>
            <w:tcW w:w="2566" w:type="dxa"/>
            <w:vAlign w:val="center"/>
          </w:tcPr>
          <w:p w14:paraId="1CC624AE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嘉树园餐厅大伙区域</w:t>
            </w:r>
          </w:p>
        </w:tc>
        <w:tc>
          <w:tcPr>
            <w:tcW w:w="1581" w:type="dxa"/>
            <w:vAlign w:val="center"/>
          </w:tcPr>
          <w:p w14:paraId="534AAF7A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约700</w:t>
            </w:r>
          </w:p>
        </w:tc>
        <w:tc>
          <w:tcPr>
            <w:tcW w:w="1327" w:type="dxa"/>
            <w:vAlign w:val="center"/>
          </w:tcPr>
          <w:p w14:paraId="4FFFC9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1EB949D4"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 w14:paraId="1A93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2238" w:type="dxa"/>
            <w:vAlign w:val="center"/>
          </w:tcPr>
          <w:p w14:paraId="6989B827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旗山校区兰苑一楼</w:t>
            </w:r>
          </w:p>
        </w:tc>
        <w:tc>
          <w:tcPr>
            <w:tcW w:w="2566" w:type="dxa"/>
            <w:vAlign w:val="center"/>
          </w:tcPr>
          <w:p w14:paraId="2C13EECB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随园餐厅</w:t>
            </w:r>
          </w:p>
        </w:tc>
        <w:tc>
          <w:tcPr>
            <w:tcW w:w="1581" w:type="dxa"/>
            <w:vAlign w:val="center"/>
          </w:tcPr>
          <w:p w14:paraId="00037542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约2600</w:t>
            </w:r>
          </w:p>
        </w:tc>
        <w:tc>
          <w:tcPr>
            <w:tcW w:w="1327" w:type="dxa"/>
            <w:vAlign w:val="center"/>
          </w:tcPr>
          <w:p w14:paraId="78E6B0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057A3239"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 w14:paraId="30E77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2238" w:type="dxa"/>
            <w:vAlign w:val="center"/>
          </w:tcPr>
          <w:p w14:paraId="1A3EFB95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旗山校区行政楼一楼附属楼</w:t>
            </w:r>
          </w:p>
        </w:tc>
        <w:tc>
          <w:tcPr>
            <w:tcW w:w="2566" w:type="dxa"/>
            <w:vAlign w:val="center"/>
          </w:tcPr>
          <w:p w14:paraId="39F526A2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旗山教工餐厅</w:t>
            </w:r>
          </w:p>
        </w:tc>
        <w:tc>
          <w:tcPr>
            <w:tcW w:w="1581" w:type="dxa"/>
            <w:vAlign w:val="center"/>
          </w:tcPr>
          <w:p w14:paraId="048FB369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</w:t>
            </w:r>
            <w:r>
              <w:rPr>
                <w:rFonts w:hint="eastAsia"/>
                <w:sz w:val="24"/>
                <w:szCs w:val="24"/>
                <w:lang w:eastAsia="zh-CN"/>
              </w:rPr>
              <w:t>500</w:t>
            </w:r>
          </w:p>
        </w:tc>
        <w:tc>
          <w:tcPr>
            <w:tcW w:w="1327" w:type="dxa"/>
            <w:vAlign w:val="center"/>
          </w:tcPr>
          <w:p w14:paraId="016F43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3C733F96"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 w14:paraId="1BFEA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2238" w:type="dxa"/>
            <w:vAlign w:val="center"/>
          </w:tcPr>
          <w:p w14:paraId="3C3A1069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仓山校区高区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1号楼一楼</w:t>
            </w:r>
          </w:p>
        </w:tc>
        <w:tc>
          <w:tcPr>
            <w:tcW w:w="2566" w:type="dxa"/>
            <w:vAlign w:val="center"/>
          </w:tcPr>
          <w:p w14:paraId="58151983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聚星园餐厅</w:t>
            </w:r>
          </w:p>
        </w:tc>
        <w:tc>
          <w:tcPr>
            <w:tcW w:w="1581" w:type="dxa"/>
            <w:vAlign w:val="center"/>
          </w:tcPr>
          <w:p w14:paraId="1837811B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约</w:t>
            </w:r>
            <w:r>
              <w:rPr>
                <w:rFonts w:hint="eastAsia"/>
                <w:sz w:val="24"/>
                <w:szCs w:val="24"/>
                <w:lang w:eastAsia="zh-CN"/>
              </w:rPr>
              <w:t>2152</w:t>
            </w:r>
          </w:p>
        </w:tc>
        <w:tc>
          <w:tcPr>
            <w:tcW w:w="1327" w:type="dxa"/>
            <w:vAlign w:val="center"/>
          </w:tcPr>
          <w:p w14:paraId="6F08EC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76125032"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  <w:tr w14:paraId="32B90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2238" w:type="dxa"/>
            <w:vAlign w:val="center"/>
          </w:tcPr>
          <w:p w14:paraId="08838D33">
            <w:pPr>
              <w:jc w:val="center"/>
              <w:rPr>
                <w:rFonts w:hint="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  <w:lang w:eastAsia="zh-CN"/>
              </w:rPr>
              <w:t>合计</w:t>
            </w:r>
            <w:r>
              <w:rPr>
                <w:rFonts w:hint="eastAsia"/>
                <w:sz w:val="24"/>
                <w:szCs w:val="24"/>
                <w:lang w:eastAsia="zh-CN"/>
              </w:rPr>
              <w:t>（元）</w:t>
            </w:r>
            <w:r>
              <w:rPr>
                <w:rFonts w:hint="eastAsia"/>
                <w:b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2566" w:type="dxa"/>
            <w:vAlign w:val="center"/>
          </w:tcPr>
          <w:p w14:paraId="76D2E194">
            <w:pPr>
              <w:jc w:val="center"/>
              <w:rPr>
                <w:rFonts w:hint="eastAsia"/>
                <w:sz w:val="24"/>
                <w:szCs w:val="24"/>
                <w:lang w:eastAsia="zh-CN"/>
              </w:rPr>
            </w:pPr>
          </w:p>
        </w:tc>
        <w:tc>
          <w:tcPr>
            <w:tcW w:w="1581" w:type="dxa"/>
            <w:vAlign w:val="center"/>
          </w:tcPr>
          <w:p w14:paraId="25CAE64F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327" w:type="dxa"/>
            <w:vAlign w:val="center"/>
          </w:tcPr>
          <w:p w14:paraId="28DDD2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446F6B6E">
            <w:pPr>
              <w:jc w:val="center"/>
              <w:rPr>
                <w:rFonts w:hint="eastAsia"/>
                <w:sz w:val="24"/>
                <w:szCs w:val="24"/>
                <w:lang w:val="en-US" w:eastAsia="zh-CN" w:bidi="ar-SA"/>
              </w:rPr>
            </w:pPr>
          </w:p>
        </w:tc>
      </w:tr>
    </w:tbl>
    <w:p w14:paraId="12C0EC76">
      <w:pPr>
        <w:rPr>
          <w:rFonts w:hint="eastAsia"/>
          <w:sz w:val="24"/>
          <w:szCs w:val="24"/>
          <w:lang w:eastAsia="zh-CN"/>
        </w:rPr>
      </w:pPr>
    </w:p>
    <w:p w14:paraId="3E5CE967">
      <w:pPr>
        <w:ind w:firstLine="560" w:firstLineChars="200"/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备注：餐厅宿舍公共区域须涵盖一并消杀。</w:t>
      </w:r>
    </w:p>
    <w:p w14:paraId="070B2B86">
      <w:pPr>
        <w:ind w:firstLine="560" w:firstLineChars="200"/>
        <w:rPr>
          <w:rFonts w:hint="default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以上报价均按18</w:t>
      </w:r>
      <w:bookmarkStart w:id="0" w:name="_GoBack"/>
      <w:bookmarkEnd w:id="0"/>
      <w:r>
        <w:rPr>
          <w:rFonts w:hint="eastAsia" w:ascii="仿宋" w:hAnsi="仿宋" w:eastAsia="仿宋"/>
          <w:b w:val="0"/>
          <w:bCs w:val="0"/>
          <w:i w:val="0"/>
          <w:color w:val="000000"/>
          <w:spacing w:val="0"/>
          <w:w w:val="100"/>
          <w:kern w:val="0"/>
          <w:sz w:val="28"/>
          <w:szCs w:val="28"/>
          <w:lang w:val="en-US" w:eastAsia="zh-CN" w:bidi="ar"/>
        </w:rPr>
        <w:t>周18次，含税开具增值税普通发票。</w:t>
      </w:r>
    </w:p>
    <w:p w14:paraId="2991BB9C">
      <w:pPr>
        <w:rPr>
          <w:rFonts w:hint="eastAsia"/>
          <w:sz w:val="24"/>
          <w:szCs w:val="24"/>
          <w:lang w:eastAsia="zh-CN"/>
        </w:rPr>
      </w:pPr>
    </w:p>
    <w:p w14:paraId="253C21EE"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 xml:space="preserve">                                                            </w:t>
      </w:r>
      <w:r>
        <w:rPr>
          <w:rFonts w:hint="eastAsia"/>
          <w:sz w:val="24"/>
          <w:szCs w:val="24"/>
          <w:lang w:val="en-US" w:eastAsia="zh-CN"/>
        </w:rPr>
        <w:t xml:space="preserve">   </w:t>
      </w:r>
    </w:p>
    <w:p w14:paraId="5497764D">
      <w:pPr>
        <w:jc w:val="center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                    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供应单位（盖章）：</w:t>
      </w:r>
    </w:p>
    <w:p w14:paraId="03008132">
      <w:pPr>
        <w:jc w:val="center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                                                                                      联系人：</w:t>
      </w:r>
    </w:p>
    <w:p w14:paraId="77A061BB">
      <w:pPr>
        <w:jc w:val="center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                                                                                  联系电话：</w:t>
      </w:r>
    </w:p>
    <w:p w14:paraId="320598CA">
      <w:pPr>
        <w:jc w:val="center"/>
        <w:rPr>
          <w:rFonts w:hint="eastAsia" w:ascii="Times New Roman" w:hAnsi="Times New Roman" w:eastAsia="宋体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                                                                                            日期：</w:t>
      </w:r>
    </w:p>
    <w:sectPr>
      <w:pgSz w:w="12240" w:h="15840"/>
      <w:pgMar w:top="1440" w:right="1134" w:bottom="1440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isplayHorizontalDrawingGridEvery w:val="1"/>
  <w:displayVerticalDrawingGridEvery w:val="1"/>
  <w:characterSpacingControl w:val="doNotCompress"/>
  <w:compat>
    <w:spaceForUL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C67B9F"/>
    <w:rsid w:val="04715A8A"/>
    <w:rsid w:val="0DDA3D2E"/>
    <w:rsid w:val="147D3C46"/>
    <w:rsid w:val="1FB15534"/>
    <w:rsid w:val="22B220DB"/>
    <w:rsid w:val="2D2E52D3"/>
    <w:rsid w:val="2F0A26E2"/>
    <w:rsid w:val="38DA0A89"/>
    <w:rsid w:val="40CA2D6C"/>
    <w:rsid w:val="42CC6A56"/>
    <w:rsid w:val="47FA5235"/>
    <w:rsid w:val="5CE574B8"/>
    <w:rsid w:val="5DD12F9D"/>
    <w:rsid w:val="63314058"/>
    <w:rsid w:val="6482502E"/>
    <w:rsid w:val="66640488"/>
    <w:rsid w:val="667C1B7A"/>
    <w:rsid w:val="6D592CFF"/>
    <w:rsid w:val="75EA6F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5"/>
    <w:qFormat/>
    <w:uiPriority w:val="0"/>
    <w:rPr>
      <w:rFonts w:ascii="Times New Roman" w:hAnsi="Times New Roman" w:eastAsia="宋体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标题 11"/>
    <w:basedOn w:val="1"/>
    <w:qFormat/>
    <w:uiPriority w:val="0"/>
    <w:pPr>
      <w:ind w:left="800"/>
      <w:outlineLvl w:val="0"/>
    </w:pPr>
    <w:rPr>
      <w:rFonts w:ascii="黑体" w:hAnsi="黑体" w:eastAsia="黑体"/>
      <w:sz w:val="32"/>
      <w:szCs w:val="32"/>
      <w:lang w:val="zh-CN" w:eastAsia="zh-CN" w:bidi="zh-CN"/>
    </w:rPr>
  </w:style>
  <w:style w:type="character" w:customStyle="1" w:styleId="5">
    <w:name w:val="默认段落字体1"/>
    <w:link w:val="1"/>
    <w:qFormat/>
    <w:uiPriority w:val="0"/>
  </w:style>
  <w:style w:type="table" w:customStyle="1" w:styleId="6">
    <w:name w:val="普通表格1"/>
    <w:qFormat/>
    <w:uiPriority w:val="0"/>
  </w:style>
  <w:style w:type="paragraph" w:customStyle="1" w:styleId="7">
    <w:name w:val="批注框文本1"/>
    <w:basedOn w:val="1"/>
    <w:link w:val="8"/>
    <w:qFormat/>
    <w:uiPriority w:val="0"/>
    <w:rPr>
      <w:sz w:val="18"/>
      <w:szCs w:val="18"/>
    </w:rPr>
  </w:style>
  <w:style w:type="character" w:customStyle="1" w:styleId="8">
    <w:name w:val="批注框文本 Char"/>
    <w:basedOn w:val="5"/>
    <w:link w:val="7"/>
    <w:semiHidden/>
    <w:qFormat/>
    <w:uiPriority w:val="0"/>
    <w:rPr>
      <w:sz w:val="18"/>
      <w:szCs w:val="18"/>
      <w:lang w:eastAsia="en-US"/>
    </w:rPr>
  </w:style>
  <w:style w:type="paragraph" w:customStyle="1" w:styleId="9">
    <w:name w:val="页脚1"/>
    <w:basedOn w:val="1"/>
    <w:link w:val="10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10">
    <w:name w:val="页脚 Char"/>
    <w:basedOn w:val="5"/>
    <w:link w:val="9"/>
    <w:semiHidden/>
    <w:qFormat/>
    <w:uiPriority w:val="0"/>
    <w:rPr>
      <w:sz w:val="18"/>
      <w:szCs w:val="18"/>
      <w:lang w:eastAsia="en-US"/>
    </w:rPr>
  </w:style>
  <w:style w:type="paragraph" w:customStyle="1" w:styleId="11">
    <w:name w:val="页眉1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2">
    <w:name w:val="页眉 Char"/>
    <w:basedOn w:val="5"/>
    <w:link w:val="11"/>
    <w:semiHidden/>
    <w:qFormat/>
    <w:uiPriority w:val="0"/>
    <w:rPr>
      <w:sz w:val="18"/>
      <w:szCs w:val="18"/>
      <w:lang w:eastAsia="en-US"/>
    </w:rPr>
  </w:style>
  <w:style w:type="paragraph" w:customStyle="1" w:styleId="13">
    <w:name w:val="普通(网站)1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14">
    <w:name w:val="网格型1"/>
    <w:basedOn w:val="6"/>
    <w:qFormat/>
    <w:uiPriority w:val="0"/>
    <w:pPr>
      <w:widowControl w:val="0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826</Words>
  <Characters>894</Characters>
  <Lines>0</Lines>
  <Paragraphs>0</Paragraphs>
  <TotalTime>81</TotalTime>
  <ScaleCrop>false</ScaleCrop>
  <LinksUpToDate>false</LinksUpToDate>
  <CharactersWithSpaces>1317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2025-01-20T02:13:00Z</dcterms:created>
  <dc:creator>佳</dc:creator>
  <cp:lastModifiedBy>期待……</cp:lastModifiedBy>
  <dcterms:modified xsi:type="dcterms:W3CDTF">2026-01-19T01:56:34Z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eyJoZGlkIjoiMWEzOWFmMmFlZmNjNDc2OWJjNDk5ZGY5ODkxN2E5MTYiLCJ1c2VySWQiOiI1MDM0NDM0MjMifQ==</vt:lpwstr>
  </property>
  <property fmtid="{D5CDD505-2E9C-101B-9397-08002B2CF9AE}" pid="3" name="KSOProductBuildVer">
    <vt:lpwstr>2052-12.1.0.24657</vt:lpwstr>
  </property>
  <property fmtid="{D5CDD505-2E9C-101B-9397-08002B2CF9AE}" pid="4" name="ICV">
    <vt:lpwstr>6BA38EC29F154B81BBCD0E5DFF15D1F3_13</vt:lpwstr>
  </property>
</Properties>
</file>