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6D7674">
      <w:pPr>
        <w:jc w:val="center"/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美术学院202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年毕业生作品展览广告宣传设计与制作服务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要求</w:t>
      </w:r>
    </w:p>
    <w:p w14:paraId="6FD13EEE">
      <w:pPr>
        <w:pStyle w:val="5"/>
        <w:widowControl/>
        <w:shd w:val="clear" w:color="auto" w:fill="FFFFFF"/>
        <w:spacing w:before="0" w:beforeAutospacing="0" w:after="0" w:afterAutospacing="0" w:line="500" w:lineRule="exact"/>
        <w:ind w:left="420" w:leftChars="200"/>
        <w:jc w:val="both"/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一、项目名称：美术学院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val="en-US" w:eastAsia="zh-CN"/>
        </w:rPr>
        <w:t>2026年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毕业生作品展览广告宣传设计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val="en-US" w:eastAsia="zh-CN"/>
        </w:rPr>
        <w:t>与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制作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val="en-US" w:eastAsia="zh-CN"/>
        </w:rPr>
        <w:t>服务</w:t>
      </w:r>
    </w:p>
    <w:p w14:paraId="103BD0EF">
      <w:pPr>
        <w:pStyle w:val="5"/>
        <w:widowControl/>
        <w:shd w:val="clear" w:color="auto" w:fill="FFFFFF"/>
        <w:spacing w:before="0" w:beforeAutospacing="0" w:after="0" w:afterAutospacing="0" w:line="500" w:lineRule="exact"/>
        <w:ind w:left="420" w:leftChars="200"/>
        <w:jc w:val="both"/>
        <w:rPr>
          <w:rFonts w:ascii="仿宋_GB2312" w:hAnsi="仿宋_GB2312" w:eastAsia="仿宋_GB2312" w:cs="仿宋_GB2312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二、项目预算：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val="en-US" w:eastAsia="zh-CN"/>
        </w:rPr>
        <w:t>78000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元。</w:t>
      </w:r>
    </w:p>
    <w:p w14:paraId="2766833D">
      <w:pPr>
        <w:pStyle w:val="5"/>
        <w:widowControl/>
        <w:numPr>
          <w:ilvl w:val="0"/>
          <w:numId w:val="1"/>
        </w:numPr>
        <w:shd w:val="clear" w:color="auto" w:fill="FFFFFF"/>
        <w:spacing w:before="0" w:beforeAutospacing="0" w:after="0" w:afterAutospacing="0" w:line="500" w:lineRule="exact"/>
        <w:ind w:left="420" w:leftChars="200"/>
        <w:jc w:val="both"/>
        <w:rPr>
          <w:rFonts w:ascii="仿宋_GB2312" w:hAnsi="仿宋_GB2312" w:eastAsia="仿宋_GB2312" w:cs="仿宋_GB2312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项目内容：</w:t>
      </w:r>
    </w:p>
    <w:tbl>
      <w:tblPr>
        <w:tblStyle w:val="6"/>
        <w:tblW w:w="1453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2760"/>
        <w:gridCol w:w="3660"/>
        <w:gridCol w:w="1725"/>
        <w:gridCol w:w="825"/>
        <w:gridCol w:w="1695"/>
        <w:gridCol w:w="1740"/>
      </w:tblGrid>
      <w:tr w14:paraId="45627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1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9D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展览区域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14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8E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5A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尺寸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9C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DE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预算单价（元）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61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预算金额（元）</w:t>
            </w:r>
          </w:p>
        </w:tc>
      </w:tr>
      <w:tr w14:paraId="284C0C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1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02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福建师范大学美术馆展厅</w:t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（美术类展览）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31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主背景墙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99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软膜灯箱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B6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596x297cm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3C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EC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2350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AF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4700.00 </w:t>
            </w:r>
          </w:p>
        </w:tc>
      </w:tr>
      <w:tr w14:paraId="10BFE7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C5215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C3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前言墙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50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冷压板切割覆亚膜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9B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406X220cm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B6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55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6C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2400.00 </w:t>
            </w:r>
          </w:p>
        </w:tc>
      </w:tr>
      <w:tr w14:paraId="0B00C2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1B9D9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44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学校美术馆展厅大墙面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B3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520-高清灯布四周画内打孔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63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3120x760cm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65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27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5500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3C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5500.00 </w:t>
            </w:r>
          </w:p>
        </w:tc>
      </w:tr>
      <w:tr w14:paraId="22999E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B871D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CE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雕塑楼背景墙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32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黑高清灯布（含安装）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D9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405x500cm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F5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C3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820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13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820.00 </w:t>
            </w:r>
          </w:p>
        </w:tc>
      </w:tr>
      <w:tr w14:paraId="5530CF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B9F2C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D3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雕塑展厅指示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E6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背胶贴、地贴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B0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80X180cm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F4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14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A0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600.00 </w:t>
            </w:r>
          </w:p>
        </w:tc>
      </w:tr>
      <w:tr w14:paraId="0B71A3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76358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4A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展签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7D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300g超感、异形切割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16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13X11cm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05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300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A6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2B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900.00 </w:t>
            </w:r>
          </w:p>
        </w:tc>
      </w:tr>
      <w:tr w14:paraId="2C84C0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1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ED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福建省画院展厅</w:t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（优秀作品展览）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2C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省画院进口大幕布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F9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高清灯布四周画内打孔-切白边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01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585x282cm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C8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B37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1500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6C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1500.00 </w:t>
            </w:r>
          </w:p>
        </w:tc>
      </w:tr>
      <w:tr w14:paraId="18759A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22EB3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A7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门口大横幅（红布条）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C2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红条幅+上下穿绳子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F4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100x1400cm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F9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06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C0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450.00 </w:t>
            </w:r>
          </w:p>
        </w:tc>
      </w:tr>
      <w:tr w14:paraId="289F3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0E6AD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1C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省画院进口侧幕布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1D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高清灯布四周画内打孔-切白边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85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377x250cm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4F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CC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1100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90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1100.00 </w:t>
            </w:r>
          </w:p>
        </w:tc>
      </w:tr>
      <w:tr w14:paraId="0B196B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EB0D0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D5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网格布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59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网格布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D7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200x373cm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A1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D2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E6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600.00 </w:t>
            </w:r>
          </w:p>
        </w:tc>
      </w:tr>
      <w:tr w14:paraId="0E6BDF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DD31C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46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展签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A5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5mmPVC+uv打印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8F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7X11cm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7D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9A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A2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200.00 </w:t>
            </w:r>
          </w:p>
        </w:tc>
      </w:tr>
      <w:tr w14:paraId="25879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32DDD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5D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撤布展（校外）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C8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人工 ,专业布展团队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A4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3E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8F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5000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FA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5000.00 </w:t>
            </w:r>
          </w:p>
        </w:tc>
      </w:tr>
      <w:tr w14:paraId="6ED8EE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0E0CC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03D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保安费+卫生（校外）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4D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负责展览期间的卫生和安全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C8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25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81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E3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8100.00 </w:t>
            </w:r>
          </w:p>
        </w:tc>
      </w:tr>
      <w:tr w14:paraId="72D01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1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4D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福州画院</w:t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(设计类展览）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82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一楼照片墙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B9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宣绒布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04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778X327cm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19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DB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2600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5C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2600.00 </w:t>
            </w:r>
          </w:p>
        </w:tc>
      </w:tr>
      <w:tr w14:paraId="69231C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B58E4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1A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一楼主背景墙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2E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宣绒布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AA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775X333cm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2F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89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2600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96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2600.00 </w:t>
            </w:r>
          </w:p>
        </w:tc>
      </w:tr>
      <w:tr w14:paraId="596A5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7C230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B2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一楼前言墙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A3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宣绒布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47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324X333cm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C4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D0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1100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2D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1100.00 </w:t>
            </w:r>
          </w:p>
        </w:tc>
      </w:tr>
      <w:tr w14:paraId="7D97F1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237A6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5A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展厅外桁架喷绘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5C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灯布、桁架租赁、安装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F3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290X350cm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BF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BB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1600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066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1600.00 </w:t>
            </w:r>
          </w:p>
        </w:tc>
      </w:tr>
      <w:tr w14:paraId="0D4FED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9B267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10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二楼展厅外地贴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49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地贴背胶贴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ED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300X700cm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35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80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1400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6F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1400.00 </w:t>
            </w:r>
          </w:p>
        </w:tc>
      </w:tr>
      <w:tr w14:paraId="56B1CC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52DC3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EC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二楼展厅楼梯处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94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KT板异形切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EF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46.5X29.5cm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8D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39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E7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480.00 </w:t>
            </w:r>
          </w:p>
        </w:tc>
      </w:tr>
      <w:tr w14:paraId="5A438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6E8C0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67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一楼地贴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A1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地贴背胶贴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2A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50X31.7cm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2B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A5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F9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450.00 </w:t>
            </w:r>
          </w:p>
        </w:tc>
      </w:tr>
      <w:tr w14:paraId="7C3EBB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D83F7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05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一楼指示牌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C6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KT板异形切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72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50X31.7cm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CC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1D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9B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300.00 </w:t>
            </w:r>
          </w:p>
        </w:tc>
      </w:tr>
      <w:tr w14:paraId="375049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A1B66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55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撤布展（校外）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59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人工协助 ,专业布展团队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31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96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57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1550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A7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1550.00 </w:t>
            </w:r>
          </w:p>
        </w:tc>
      </w:tr>
      <w:tr w14:paraId="0E90EC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4957D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1A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展签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D2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300g超感、异形切割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B2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7X11cm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79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150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9B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8B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450.00 </w:t>
            </w:r>
          </w:p>
        </w:tc>
      </w:tr>
      <w:tr w14:paraId="52AF7C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1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34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</w:t>
            </w: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85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微信推文主推文以及各专业推文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AB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多年自媒体运营经验（3条开展+每个专业一条）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35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86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68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800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8E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5600.00 </w:t>
            </w:r>
          </w:p>
        </w:tc>
      </w:tr>
      <w:tr w14:paraId="7AD104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3AAFC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0E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515专属主视觉动态视频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AE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时间长短各一条,格式h264，1080p，30帧每秒，时间长度180秒mg动画视频。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81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E0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F7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6000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09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12000.00 </w:t>
            </w:r>
          </w:p>
        </w:tc>
      </w:tr>
      <w:tr w14:paraId="4E92B7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21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679B4">
            <w:pPr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35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总视觉设计费</w:t>
            </w:r>
          </w:p>
        </w:tc>
        <w:tc>
          <w:tcPr>
            <w:tcW w:w="3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B7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有相关项目服务经验，常年服务于艺术类机构，为艺术类展览设计主视觉、海报以及喷绘物料等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6E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9C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DE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16000 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62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16000.00 </w:t>
            </w:r>
          </w:p>
        </w:tc>
      </w:tr>
      <w:tr w14:paraId="495CFB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279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9A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注：以上项目尺寸可根据展览场地实际情况</w:t>
            </w:r>
            <w:bookmarkStart w:id="0" w:name="_GoBack"/>
            <w:bookmarkEnd w:id="0"/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进行细微调整。合计（含安装、运输、人工、税费等费用）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E6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78000.00 </w:t>
            </w:r>
          </w:p>
        </w:tc>
      </w:tr>
    </w:tbl>
    <w:p w14:paraId="6A218586">
      <w:pPr>
        <w:pStyle w:val="5"/>
        <w:widowControl/>
        <w:numPr>
          <w:ilvl w:val="0"/>
          <w:numId w:val="0"/>
        </w:numPr>
        <w:shd w:val="clear" w:color="auto" w:fill="FFFFFF"/>
        <w:spacing w:before="0" w:beforeAutospacing="0" w:after="0" w:afterAutospacing="0" w:line="500" w:lineRule="exact"/>
        <w:jc w:val="both"/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</w:pPr>
    </w:p>
    <w:p w14:paraId="52ECDD4F">
      <w:pPr>
        <w:pStyle w:val="5"/>
        <w:widowControl/>
        <w:numPr>
          <w:ilvl w:val="0"/>
          <w:numId w:val="0"/>
        </w:numPr>
        <w:shd w:val="clear" w:color="auto" w:fill="FFFFFF"/>
        <w:spacing w:before="0" w:beforeAutospacing="0" w:after="0" w:afterAutospacing="0" w:line="500" w:lineRule="exact"/>
        <w:jc w:val="both"/>
        <w:rPr>
          <w:rFonts w:hint="eastAsia" w:ascii="仿宋_GB2312" w:hAnsi="仿宋_GB2312" w:eastAsia="仿宋_GB2312" w:cs="仿宋_GB2312"/>
          <w:color w:val="auto"/>
          <w:sz w:val="28"/>
          <w:szCs w:val="28"/>
          <w:shd w:val="clear" w:color="auto" w:fill="FFFFFF"/>
        </w:rPr>
      </w:pPr>
    </w:p>
    <w:p w14:paraId="5978D299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560" w:firstLineChars="200"/>
        <w:jc w:val="both"/>
        <w:rPr>
          <w:rFonts w:ascii="仿宋_GB2312" w:hAnsi="仿宋_GB2312" w:eastAsia="仿宋_GB2312" w:cs="仿宋_GB2312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四、意向供应商报价要求：</w:t>
      </w:r>
    </w:p>
    <w:p w14:paraId="34CB6FDA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560" w:firstLineChars="200"/>
        <w:jc w:val="both"/>
        <w:rPr>
          <w:rFonts w:ascii="仿宋_GB2312" w:hAnsi="仿宋_GB2312" w:eastAsia="仿宋_GB2312" w:cs="仿宋_GB2312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1.需提供项目报价材料、营业执照复印件（副本）、法定代表人的身份证复印件或授权书原件、报价代表人的身份证复印件、报价人联系电话（复印件上请标注“与原件一致”字样并加盖公章）。</w:t>
      </w:r>
    </w:p>
    <w:p w14:paraId="7E2AE4D9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560" w:firstLineChars="200"/>
        <w:jc w:val="both"/>
        <w:rPr>
          <w:rFonts w:ascii="仿宋_GB2312" w:hAnsi="仿宋_GB2312" w:eastAsia="仿宋_GB2312" w:cs="仿宋_GB2312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2.应有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val="en-US" w:eastAsia="zh-CN"/>
        </w:rPr>
        <w:t>相关项目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服务经验，常年服务于艺术类机构，</w:t>
      </w:r>
      <w:r>
        <w:rPr>
          <w:rFonts w:ascii="仿宋_GB2312" w:hAnsi="仿宋_GB2312" w:eastAsia="仿宋_GB2312" w:cs="仿宋_GB2312"/>
          <w:sz w:val="28"/>
          <w:szCs w:val="28"/>
          <w:shd w:val="clear" w:color="auto" w:fill="FFFFFF"/>
        </w:rPr>
        <w:t>多年自媒体运营经验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，为艺术类展览设计主视觉、海报以及喷绘物料等。</w:t>
      </w:r>
    </w:p>
    <w:p w14:paraId="0B8A51FB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560" w:firstLineChars="200"/>
        <w:jc w:val="both"/>
        <w:rPr>
          <w:rFonts w:ascii="仿宋_GB2312" w:hAnsi="仿宋_GB2312" w:eastAsia="仿宋_GB2312" w:cs="仿宋_GB2312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3.参与投标公司应具有展务、会展布置等资质。</w:t>
      </w:r>
    </w:p>
    <w:p w14:paraId="2B729FB3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560" w:firstLineChars="200"/>
        <w:jc w:val="both"/>
        <w:rPr>
          <w:rFonts w:ascii="仿宋_GB2312" w:hAnsi="仿宋_GB2312" w:eastAsia="仿宋_GB2312" w:cs="仿宋_GB2312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4.提供本项目设计方案，并按照采购人要求修订完善方案，方案需经我院审核通过后方可执行。供应商设计团队能够24小时无隙对接，积极响应招标方的设计要求。</w:t>
      </w:r>
    </w:p>
    <w:p w14:paraId="0530BC7D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560" w:firstLineChars="200"/>
        <w:jc w:val="both"/>
        <w:rPr>
          <w:rFonts w:ascii="仿宋_GB2312" w:hAnsi="仿宋_GB2312" w:eastAsia="仿宋_GB2312" w:cs="仿宋_GB2312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5.中标方应在中标后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日内完成所有项目的设计制作安装。</w:t>
      </w:r>
    </w:p>
    <w:p w14:paraId="0EA7E462">
      <w:pPr>
        <w:spacing w:line="500" w:lineRule="exact"/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五、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shd w:val="clear" w:color="auto" w:fill="FFFFFF"/>
        </w:rPr>
        <w:t>报价人须在采购公告期内提供纸质报价文件（加盖公章，报价材料包括但不限于报价表等），在采购公告期内送至（或邮寄）福建师范大学旗山校区美术学院办公楼206室。未在采购公告期内提供的，视为无效报价。联系人：彭老师；联系电话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shd w:val="clear" w:color="auto" w:fill="FFFFFF"/>
          <w:lang w:val="en-US" w:eastAsia="zh-CN"/>
        </w:rPr>
        <w:t>0591-22868096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shd w:val="clear" w:color="auto" w:fill="FFFFFF"/>
        </w:rPr>
        <w:t>。</w:t>
      </w:r>
    </w:p>
    <w:p w14:paraId="2600DFE5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600"/>
        <w:jc w:val="both"/>
        <w:rPr>
          <w:rFonts w:hint="eastAsia" w:ascii="仿宋_GB2312" w:hAnsi="仿宋_GB2312" w:eastAsia="仿宋_GB2312" w:cs="仿宋_GB2312"/>
          <w:kern w:val="0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shd w:val="clear" w:color="auto" w:fill="FFFFFF"/>
          <w:lang w:val="en-US" w:eastAsia="zh-CN" w:bidi="ar-SA"/>
        </w:rPr>
        <w:t>六、评标方法：综合评分（见附件）。</w:t>
      </w:r>
    </w:p>
    <w:p w14:paraId="023A5123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600"/>
        <w:jc w:val="both"/>
        <w:rPr>
          <w:rFonts w:hint="default" w:ascii="仿宋_GB2312" w:hAnsi="仿宋_GB2312" w:eastAsia="仿宋_GB2312" w:cs="仿宋_GB2312"/>
          <w:sz w:val="30"/>
          <w:szCs w:val="30"/>
          <w:shd w:val="clear" w:color="auto" w:fill="FFFFFF"/>
          <w:lang w:val="en-US" w:eastAsia="zh-CN"/>
        </w:rPr>
      </w:pPr>
    </w:p>
    <w:p w14:paraId="0E45A9B5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600"/>
        <w:jc w:val="both"/>
        <w:rPr>
          <w:rFonts w:hint="default" w:ascii="仿宋_GB2312" w:hAnsi="仿宋_GB2312" w:eastAsia="仿宋_GB2312" w:cs="仿宋_GB2312"/>
          <w:sz w:val="30"/>
          <w:szCs w:val="30"/>
          <w:shd w:val="clear" w:color="auto" w:fill="FFFFFF"/>
          <w:lang w:val="en-US" w:eastAsia="zh-CN"/>
        </w:rPr>
      </w:pPr>
    </w:p>
    <w:p w14:paraId="601A92E1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600"/>
        <w:jc w:val="both"/>
        <w:rPr>
          <w:rFonts w:hint="default" w:ascii="仿宋_GB2312" w:hAnsi="仿宋_GB2312" w:eastAsia="仿宋_GB2312" w:cs="仿宋_GB2312"/>
          <w:sz w:val="30"/>
          <w:szCs w:val="30"/>
          <w:shd w:val="clear" w:color="auto" w:fill="FFFFFF"/>
          <w:lang w:val="en-US" w:eastAsia="zh-CN"/>
        </w:rPr>
      </w:pPr>
    </w:p>
    <w:p w14:paraId="6E93EF58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600"/>
        <w:jc w:val="both"/>
        <w:rPr>
          <w:rFonts w:hint="default" w:ascii="仿宋_GB2312" w:hAnsi="仿宋_GB2312" w:eastAsia="仿宋_GB2312" w:cs="仿宋_GB2312"/>
          <w:sz w:val="30"/>
          <w:szCs w:val="30"/>
          <w:shd w:val="clear" w:color="auto" w:fill="FFFFFF"/>
          <w:lang w:val="en-US" w:eastAsia="zh-CN"/>
        </w:rPr>
      </w:pPr>
    </w:p>
    <w:p w14:paraId="24961F90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600"/>
        <w:jc w:val="both"/>
        <w:rPr>
          <w:rFonts w:hint="default" w:ascii="仿宋_GB2312" w:hAnsi="仿宋_GB2312" w:eastAsia="仿宋_GB2312" w:cs="仿宋_GB2312"/>
          <w:sz w:val="30"/>
          <w:szCs w:val="30"/>
          <w:shd w:val="clear" w:color="auto" w:fill="FFFFFF"/>
          <w:lang w:val="en-US" w:eastAsia="zh-CN"/>
        </w:rPr>
      </w:pPr>
    </w:p>
    <w:p w14:paraId="37EF6917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600"/>
        <w:jc w:val="both"/>
        <w:rPr>
          <w:rFonts w:hint="default" w:ascii="仿宋_GB2312" w:hAnsi="仿宋_GB2312" w:eastAsia="仿宋_GB2312" w:cs="仿宋_GB2312"/>
          <w:sz w:val="30"/>
          <w:szCs w:val="30"/>
          <w:shd w:val="clear" w:color="auto" w:fill="FFFFFF"/>
          <w:lang w:val="en-US" w:eastAsia="zh-CN"/>
        </w:rPr>
      </w:pPr>
    </w:p>
    <w:p w14:paraId="22E5F04B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600"/>
        <w:jc w:val="both"/>
        <w:rPr>
          <w:rFonts w:hint="default" w:ascii="仿宋_GB2312" w:hAnsi="仿宋_GB2312" w:eastAsia="仿宋_GB2312" w:cs="仿宋_GB2312"/>
          <w:sz w:val="30"/>
          <w:szCs w:val="30"/>
          <w:shd w:val="clear" w:color="auto" w:fill="FFFFFF"/>
          <w:lang w:val="en-US" w:eastAsia="zh-CN"/>
        </w:rPr>
      </w:pPr>
    </w:p>
    <w:p w14:paraId="7D388DD1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600"/>
        <w:jc w:val="both"/>
        <w:rPr>
          <w:rFonts w:hint="default" w:ascii="仿宋_GB2312" w:hAnsi="仿宋_GB2312" w:eastAsia="仿宋_GB2312" w:cs="仿宋_GB2312"/>
          <w:sz w:val="30"/>
          <w:szCs w:val="30"/>
          <w:shd w:val="clear" w:color="auto" w:fill="FFFFFF"/>
          <w:lang w:val="en-US" w:eastAsia="zh-CN"/>
        </w:rPr>
      </w:pPr>
    </w:p>
    <w:p w14:paraId="1AF38E98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600"/>
        <w:jc w:val="both"/>
        <w:rPr>
          <w:rFonts w:hint="default" w:ascii="仿宋_GB2312" w:hAnsi="仿宋_GB2312" w:eastAsia="仿宋_GB2312" w:cs="仿宋_GB2312"/>
          <w:sz w:val="30"/>
          <w:szCs w:val="30"/>
          <w:shd w:val="clear" w:color="auto" w:fill="FFFFFF"/>
          <w:lang w:val="en-US" w:eastAsia="zh-CN"/>
        </w:rPr>
      </w:pPr>
    </w:p>
    <w:p w14:paraId="46CA1C26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600"/>
        <w:jc w:val="both"/>
        <w:rPr>
          <w:rFonts w:hint="default" w:ascii="仿宋_GB2312" w:hAnsi="仿宋_GB2312" w:eastAsia="仿宋_GB2312" w:cs="仿宋_GB2312"/>
          <w:sz w:val="30"/>
          <w:szCs w:val="30"/>
          <w:shd w:val="clear" w:color="auto" w:fill="FFFFFF"/>
          <w:lang w:val="en-US" w:eastAsia="zh-CN"/>
        </w:rPr>
      </w:pPr>
    </w:p>
    <w:p w14:paraId="2B2D02D8">
      <w:pPr>
        <w:pStyle w:val="5"/>
        <w:widowControl/>
        <w:shd w:val="clear" w:color="auto" w:fill="FFFFFF"/>
        <w:spacing w:before="0" w:beforeAutospacing="0" w:after="0" w:afterAutospacing="0" w:line="500" w:lineRule="exact"/>
        <w:ind w:firstLine="600"/>
        <w:jc w:val="both"/>
        <w:rPr>
          <w:rFonts w:hint="default" w:ascii="仿宋_GB2312" w:hAnsi="仿宋_GB2312" w:eastAsia="仿宋_GB2312" w:cs="仿宋_GB2312"/>
          <w:sz w:val="30"/>
          <w:szCs w:val="30"/>
          <w:shd w:val="clear" w:color="auto" w:fill="FFFFFF"/>
          <w:lang w:val="en-US" w:eastAsia="zh-CN"/>
        </w:rPr>
      </w:pPr>
    </w:p>
    <w:p w14:paraId="3203D2DF">
      <w:pPr>
        <w:pStyle w:val="5"/>
        <w:widowControl/>
        <w:numPr>
          <w:ilvl w:val="0"/>
          <w:numId w:val="0"/>
        </w:numPr>
        <w:shd w:val="clear" w:color="auto" w:fill="FFFFFF"/>
        <w:spacing w:before="0" w:beforeAutospacing="0" w:after="0" w:afterAutospacing="0" w:line="500" w:lineRule="exact"/>
        <w:jc w:val="both"/>
        <w:rPr>
          <w:rFonts w:hint="eastAsia" w:ascii="仿宋_GB2312" w:hAnsi="仿宋_GB2312" w:eastAsia="仿宋_GB2312" w:cs="仿宋_GB2312"/>
          <w:kern w:val="0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shd w:val="clear" w:color="auto" w:fill="FFFFFF"/>
          <w:lang w:val="en-US" w:eastAsia="zh-CN" w:bidi="ar-SA"/>
        </w:rPr>
        <w:t>附件：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美术学院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val="en-US" w:eastAsia="zh-CN"/>
        </w:rPr>
        <w:t>2026年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毕业生作品展览广告宣传设计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val="en-US" w:eastAsia="zh-CN"/>
        </w:rPr>
        <w:t>与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制作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shd w:val="clear" w:color="auto" w:fill="FFFFFF"/>
          <w:lang w:val="en-US" w:eastAsia="zh-CN" w:bidi="ar-SA"/>
        </w:rPr>
        <w:t>评分标准（满分=100分）</w:t>
      </w:r>
    </w:p>
    <w:p w14:paraId="08154349">
      <w:pPr>
        <w:pStyle w:val="2"/>
        <w:spacing w:line="480" w:lineRule="exact"/>
        <w:rPr>
          <w:rFonts w:hint="eastAsia" w:ascii="仿宋_GB2312" w:hAnsi="仿宋_GB2312" w:eastAsia="仿宋_GB2312" w:cs="仿宋_GB2312"/>
          <w:kern w:val="0"/>
          <w:sz w:val="28"/>
          <w:szCs w:val="28"/>
          <w:shd w:val="clear" w:color="auto" w:fill="FFFFFF"/>
          <w:lang w:val="en-US" w:eastAsia="zh-CN" w:bidi="ar-SA"/>
        </w:rPr>
      </w:pPr>
    </w:p>
    <w:tbl>
      <w:tblPr>
        <w:tblStyle w:val="6"/>
        <w:tblW w:w="13584" w:type="dxa"/>
        <w:jc w:val="center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05"/>
        <w:gridCol w:w="1612"/>
        <w:gridCol w:w="9867"/>
      </w:tblGrid>
      <w:tr w14:paraId="0C84E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 w:hRule="atLeast"/>
          <w:tblHeader/>
          <w:tblCellSpacing w:w="0" w:type="dxa"/>
          <w:jc w:val="center"/>
        </w:trPr>
        <w:tc>
          <w:tcPr>
            <w:tcW w:w="2105" w:type="dxa"/>
            <w:noWrap w:val="0"/>
            <w:vAlign w:val="center"/>
          </w:tcPr>
          <w:p w14:paraId="5C0E27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评标项目</w:t>
            </w:r>
          </w:p>
        </w:tc>
        <w:tc>
          <w:tcPr>
            <w:tcW w:w="1612" w:type="dxa"/>
            <w:noWrap w:val="0"/>
            <w:vAlign w:val="center"/>
          </w:tcPr>
          <w:p w14:paraId="36AA92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评标分值</w:t>
            </w:r>
          </w:p>
        </w:tc>
        <w:tc>
          <w:tcPr>
            <w:tcW w:w="9867" w:type="dxa"/>
            <w:noWrap w:val="0"/>
            <w:vAlign w:val="center"/>
          </w:tcPr>
          <w:p w14:paraId="526C47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评标方法描述</w:t>
            </w:r>
          </w:p>
        </w:tc>
      </w:tr>
      <w:tr w14:paraId="51DBAA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  <w:tblCellSpacing w:w="0" w:type="dxa"/>
          <w:jc w:val="center"/>
        </w:trPr>
        <w:tc>
          <w:tcPr>
            <w:tcW w:w="2105" w:type="dxa"/>
            <w:noWrap w:val="0"/>
            <w:vAlign w:val="center"/>
          </w:tcPr>
          <w:p w14:paraId="2EA704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供应商经验</w:t>
            </w:r>
          </w:p>
        </w:tc>
        <w:tc>
          <w:tcPr>
            <w:tcW w:w="1612" w:type="dxa"/>
            <w:noWrap w:val="0"/>
            <w:vAlign w:val="center"/>
          </w:tcPr>
          <w:p w14:paraId="3E0D61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30</w:t>
            </w:r>
          </w:p>
        </w:tc>
        <w:tc>
          <w:tcPr>
            <w:tcW w:w="9867" w:type="dxa"/>
            <w:noWrap w:val="0"/>
            <w:vAlign w:val="center"/>
          </w:tcPr>
          <w:p w14:paraId="7102AA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有相关项目服务经验，常年服务于艺术类机构，多年自媒体运营经验，为艺术类展览设计主视觉、海报以及喷绘物料等，提供相关材料证明（如合同复印件等）。</w:t>
            </w:r>
          </w:p>
          <w:p w14:paraId="65F958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提供一份得10分，满分30分，未提供的不得分。</w:t>
            </w:r>
          </w:p>
        </w:tc>
      </w:tr>
      <w:tr w14:paraId="7FF94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105" w:type="dxa"/>
            <w:noWrap w:val="0"/>
            <w:vAlign w:val="center"/>
          </w:tcPr>
          <w:p w14:paraId="1687B2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响应承诺</w:t>
            </w:r>
          </w:p>
        </w:tc>
        <w:tc>
          <w:tcPr>
            <w:tcW w:w="1612" w:type="dxa"/>
            <w:noWrap w:val="0"/>
            <w:vAlign w:val="center"/>
          </w:tcPr>
          <w:p w14:paraId="6A3428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10</w:t>
            </w:r>
          </w:p>
        </w:tc>
        <w:tc>
          <w:tcPr>
            <w:tcW w:w="9867" w:type="dxa"/>
            <w:noWrap w:val="0"/>
            <w:vAlign w:val="center"/>
          </w:tcPr>
          <w:p w14:paraId="5416DF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供应商承诺在接到采购人对不合格物料、颜色偏差较大或者尺寸规格有误等问题的整改通知后，30分钟内响应。提供承诺函（承诺函格式自拟）的得10分，未提供的本项不得分。</w:t>
            </w:r>
          </w:p>
        </w:tc>
      </w:tr>
      <w:tr w14:paraId="77719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105" w:type="dxa"/>
            <w:noWrap w:val="0"/>
            <w:vAlign w:val="center"/>
          </w:tcPr>
          <w:p w14:paraId="6ECC46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设计方案</w:t>
            </w:r>
          </w:p>
        </w:tc>
        <w:tc>
          <w:tcPr>
            <w:tcW w:w="1612" w:type="dxa"/>
            <w:noWrap w:val="0"/>
            <w:vAlign w:val="center"/>
          </w:tcPr>
          <w:p w14:paraId="628A12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30</w:t>
            </w:r>
          </w:p>
        </w:tc>
        <w:tc>
          <w:tcPr>
            <w:tcW w:w="9867" w:type="dxa"/>
            <w:noWrap w:val="0"/>
            <w:vAlign w:val="center"/>
          </w:tcPr>
          <w:p w14:paraId="0F09E2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供应商提供本项目设计方案。</w:t>
            </w:r>
          </w:p>
          <w:p w14:paraId="1207FF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根据供应商为本项目提供的设计方案进行评审，方案完整、详尽、合理、可行、创意新颖，满足项目需求的得30分；方案完整，总体科学合理、可行，虽存在部分内容表述不清但满足项目需求的得20分；方案缺漏较多，但提供的内容总体合理的得10分；方案不合理、非针对本项目或未提供方案的不得分。</w:t>
            </w:r>
          </w:p>
        </w:tc>
      </w:tr>
      <w:tr w14:paraId="3175D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105" w:type="dxa"/>
            <w:noWrap w:val="0"/>
            <w:vAlign w:val="center"/>
          </w:tcPr>
          <w:p w14:paraId="71EE00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报价评分</w:t>
            </w:r>
          </w:p>
        </w:tc>
        <w:tc>
          <w:tcPr>
            <w:tcW w:w="1612" w:type="dxa"/>
            <w:noWrap w:val="0"/>
            <w:vAlign w:val="center"/>
          </w:tcPr>
          <w:p w14:paraId="02AEDD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30</w:t>
            </w:r>
          </w:p>
        </w:tc>
        <w:tc>
          <w:tcPr>
            <w:tcW w:w="9867" w:type="dxa"/>
            <w:noWrap w:val="0"/>
            <w:vAlign w:val="center"/>
          </w:tcPr>
          <w:p w14:paraId="5DB7BA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价格分采用低价优先法计算，即满足招标文件要求且投标报价最低的供应商的价格为基准价，其价格分为满分。其他供应商的价格分统一按照下列公式计算：报价得分=（基准价／报价）×30，（保留两位小数）</w:t>
            </w:r>
          </w:p>
        </w:tc>
      </w:tr>
      <w:tr w14:paraId="5B3B4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105" w:type="dxa"/>
            <w:noWrap w:val="0"/>
            <w:vAlign w:val="center"/>
          </w:tcPr>
          <w:p w14:paraId="0A3EC8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合计</w:t>
            </w:r>
          </w:p>
        </w:tc>
        <w:tc>
          <w:tcPr>
            <w:tcW w:w="1612" w:type="dxa"/>
            <w:noWrap w:val="0"/>
            <w:vAlign w:val="center"/>
          </w:tcPr>
          <w:p w14:paraId="564B0E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100</w:t>
            </w:r>
          </w:p>
        </w:tc>
        <w:tc>
          <w:tcPr>
            <w:tcW w:w="9867" w:type="dxa"/>
            <w:noWrap w:val="0"/>
            <w:vAlign w:val="center"/>
          </w:tcPr>
          <w:p w14:paraId="595324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</w:p>
        </w:tc>
      </w:tr>
    </w:tbl>
    <w:p w14:paraId="3BE7B3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360" w:lineRule="exact"/>
        <w:jc w:val="both"/>
        <w:textAlignment w:val="auto"/>
        <w:rPr>
          <w:rFonts w:hint="default" w:ascii="仿宋_GB2312" w:hAnsi="仿宋_GB2312" w:eastAsia="仿宋_GB2312" w:cs="仿宋_GB2312"/>
          <w:sz w:val="24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Baskerville">
    <w:altName w:val="Baskerville Old Fac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skerville Old Face">
    <w:panose1 w:val="02020602080505020303"/>
    <w:charset w:val="00"/>
    <w:family w:val="auto"/>
    <w:pitch w:val="default"/>
    <w:sig w:usb0="00000003" w:usb1="00000000" w:usb2="00000000" w:usb3="00000000" w:csb0="20000001" w:csb1="00000000"/>
  </w:font>
  <w:font w:name="Songti SC 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ongti SC 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0EE67D5"/>
    <w:multiLevelType w:val="singleLevel"/>
    <w:tmpl w:val="F0EE67D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A5ZGU3Mjk2ZDFmZjU2ZTQ1YzY5M2ZlMTQyZGU5OTMifQ=="/>
  </w:docVars>
  <w:rsids>
    <w:rsidRoot w:val="0E0312A0"/>
    <w:rsid w:val="0012672E"/>
    <w:rsid w:val="004B3963"/>
    <w:rsid w:val="004F79B5"/>
    <w:rsid w:val="00534F66"/>
    <w:rsid w:val="00685EDE"/>
    <w:rsid w:val="00730213"/>
    <w:rsid w:val="007D1078"/>
    <w:rsid w:val="00A64A17"/>
    <w:rsid w:val="00A81FFB"/>
    <w:rsid w:val="00D60C1B"/>
    <w:rsid w:val="00DE3D48"/>
    <w:rsid w:val="00DF7E4E"/>
    <w:rsid w:val="00E82F1E"/>
    <w:rsid w:val="00F16C0B"/>
    <w:rsid w:val="00F302BB"/>
    <w:rsid w:val="04335772"/>
    <w:rsid w:val="051536FE"/>
    <w:rsid w:val="0A5B6057"/>
    <w:rsid w:val="0A785072"/>
    <w:rsid w:val="0B4B5C40"/>
    <w:rsid w:val="0BC27836"/>
    <w:rsid w:val="0E0312A0"/>
    <w:rsid w:val="11274C70"/>
    <w:rsid w:val="13814EF8"/>
    <w:rsid w:val="17F13B56"/>
    <w:rsid w:val="18214D25"/>
    <w:rsid w:val="1DD27F86"/>
    <w:rsid w:val="2210092B"/>
    <w:rsid w:val="28C14C38"/>
    <w:rsid w:val="28D2677B"/>
    <w:rsid w:val="2FA5374C"/>
    <w:rsid w:val="347B4A7C"/>
    <w:rsid w:val="3A15743E"/>
    <w:rsid w:val="3A204D0A"/>
    <w:rsid w:val="3B9A2D02"/>
    <w:rsid w:val="41341756"/>
    <w:rsid w:val="42C3151E"/>
    <w:rsid w:val="4A31633A"/>
    <w:rsid w:val="4A7F2EEF"/>
    <w:rsid w:val="4CEB4CAD"/>
    <w:rsid w:val="4DA2412F"/>
    <w:rsid w:val="4E7F6CD8"/>
    <w:rsid w:val="553B6DFF"/>
    <w:rsid w:val="5B9C6F02"/>
    <w:rsid w:val="5DFB43B4"/>
    <w:rsid w:val="5E3D4139"/>
    <w:rsid w:val="60F82E2D"/>
    <w:rsid w:val="66F5142B"/>
    <w:rsid w:val="68B77BF0"/>
    <w:rsid w:val="6AC412B9"/>
    <w:rsid w:val="6EC470EF"/>
    <w:rsid w:val="71493231"/>
    <w:rsid w:val="78B52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napToGrid w:val="0"/>
      <w:spacing w:line="360" w:lineRule="auto"/>
      <w:jc w:val="left"/>
    </w:pPr>
    <w:rPr>
      <w:rFonts w:ascii="Times New Roman" w:hAnsi="Times New Roman"/>
    </w:rPr>
  </w:style>
  <w:style w:type="paragraph" w:styleId="3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7">
    <w:name w:val="Table Grid"/>
    <w:basedOn w:val="6"/>
    <w:autoRedefine/>
    <w:qFormat/>
    <w:uiPriority w:val="39"/>
    <w:rPr>
      <w:rFonts w:ascii="等线" w:hAnsi="等线" w:eastAsia="等线"/>
      <w:kern w:val="2"/>
      <w:sz w:val="21"/>
      <w:szCs w:val="22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列出段落1"/>
    <w:basedOn w:val="1"/>
    <w:qFormat/>
    <w:uiPriority w:val="99"/>
    <w:pPr>
      <w:ind w:firstLine="420" w:firstLineChars="200"/>
    </w:pPr>
    <w:rPr>
      <w:szCs w:val="21"/>
    </w:rPr>
  </w:style>
  <w:style w:type="character" w:customStyle="1" w:styleId="10">
    <w:name w:val="页眉 字符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字符"/>
    <w:basedOn w:val="8"/>
    <w:link w:val="3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font11"/>
    <w:basedOn w:val="8"/>
    <w:qFormat/>
    <w:uiPriority w:val="0"/>
    <w:rPr>
      <w:rFonts w:hint="default" w:ascii="Baskerville" w:hAnsi="Baskerville" w:eastAsia="Baskerville" w:cs="Baskerville"/>
      <w:color w:val="000000"/>
      <w:sz w:val="22"/>
      <w:szCs w:val="22"/>
      <w:u w:val="none"/>
    </w:rPr>
  </w:style>
  <w:style w:type="character" w:customStyle="1" w:styleId="13">
    <w:name w:val="font51"/>
    <w:basedOn w:val="8"/>
    <w:qFormat/>
    <w:uiPriority w:val="0"/>
    <w:rPr>
      <w:rFonts w:hint="default" w:ascii="Baskerville" w:hAnsi="Baskerville" w:eastAsia="Baskerville" w:cs="Baskerville"/>
      <w:color w:val="000000"/>
      <w:sz w:val="22"/>
      <w:szCs w:val="22"/>
      <w:u w:val="none"/>
    </w:rPr>
  </w:style>
  <w:style w:type="character" w:customStyle="1" w:styleId="14">
    <w:name w:val="font3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5">
    <w:name w:val="font61"/>
    <w:basedOn w:val="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6">
    <w:name w:val="font81"/>
    <w:basedOn w:val="8"/>
    <w:qFormat/>
    <w:uiPriority w:val="0"/>
    <w:rPr>
      <w:rFonts w:ascii="Songti SC Bold" w:hAnsi="Songti SC Bold" w:eastAsia="Songti SC Bold" w:cs="Songti SC Bold"/>
      <w:color w:val="000000"/>
      <w:sz w:val="24"/>
      <w:szCs w:val="24"/>
      <w:u w:val="none"/>
    </w:rPr>
  </w:style>
  <w:style w:type="character" w:customStyle="1" w:styleId="17">
    <w:name w:val="font71"/>
    <w:basedOn w:val="8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18">
    <w:name w:val="font21"/>
    <w:basedOn w:val="8"/>
    <w:qFormat/>
    <w:uiPriority w:val="0"/>
    <w:rPr>
      <w:rFonts w:hint="default" w:ascii="Baskerville" w:hAnsi="Baskerville" w:eastAsia="Baskerville" w:cs="Baskerville"/>
      <w:color w:val="FF0000"/>
      <w:sz w:val="22"/>
      <w:szCs w:val="22"/>
      <w:u w:val="none"/>
    </w:rPr>
  </w:style>
  <w:style w:type="character" w:customStyle="1" w:styleId="19">
    <w:name w:val="font91"/>
    <w:basedOn w:val="8"/>
    <w:qFormat/>
    <w:uiPriority w:val="0"/>
    <w:rPr>
      <w:rFonts w:ascii="Songti SC Regular" w:hAnsi="Songti SC Regular" w:eastAsia="Songti SC Regular" w:cs="Songti SC Regular"/>
      <w:color w:val="000000"/>
      <w:sz w:val="24"/>
      <w:szCs w:val="24"/>
      <w:u w:val="none"/>
    </w:rPr>
  </w:style>
  <w:style w:type="character" w:customStyle="1" w:styleId="20">
    <w:name w:val="font101"/>
    <w:basedOn w:val="8"/>
    <w:qFormat/>
    <w:uiPriority w:val="0"/>
    <w:rPr>
      <w:rFonts w:hint="default" w:ascii="Songti SC Regular" w:hAnsi="Songti SC Regular" w:eastAsia="Songti SC Regular" w:cs="Songti SC Regular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1584</Words>
  <Characters>2044</Characters>
  <Lines>8</Lines>
  <Paragraphs>2</Paragraphs>
  <TotalTime>181</TotalTime>
  <ScaleCrop>false</ScaleCrop>
  <LinksUpToDate>false</LinksUpToDate>
  <CharactersWithSpaces>2121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2023-04-23T03:00:00Z</dcterms:created>
  <dc:creator>admin</dc:creator>
  <cp:lastModifiedBy>彭金梅</cp:lastModifiedBy>
  <cp:lastPrinted>2026-04-20T07:35:00Z</cp:lastPrinted>
  <dcterms:modified xsi:type="dcterms:W3CDTF">2026-04-20T09:30:07Z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C000BFBB290B4474B91706AEAE850D19_13</vt:lpwstr>
  </property>
  <property fmtid="{D5CDD505-2E9C-101B-9397-08002B2CF9AE}" pid="4" name="KSOTemplateDocerSaveRecord">
    <vt:lpwstr>eyJoZGlkIjoiOTA5ZGU3Mjk2ZDFmZjU2ZTQ1YzY5M2ZlMTQyZGU5OTMiLCJ1c2VySWQiOiIxNjMwOTc2NzI5In0=</vt:lpwstr>
  </property>
</Properties>
</file>