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A57613">
      <w:pPr>
        <w:pStyle w:val="2"/>
        <w:numPr>
          <w:ilvl w:val="0"/>
          <w:numId w:val="0"/>
        </w:numPr>
        <w:spacing w:line="460" w:lineRule="exact"/>
        <w:jc w:val="center"/>
        <w:rPr>
          <w:highlight w:val="none"/>
        </w:rPr>
      </w:pPr>
      <w:r>
        <w:rPr>
          <w:rFonts w:hint="eastAsia"/>
          <w:highlight w:val="none"/>
        </w:rPr>
        <w:t>采购需求</w:t>
      </w:r>
    </w:p>
    <w:tbl>
      <w:tblPr>
        <w:tblStyle w:val="4"/>
        <w:tblW w:w="82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917"/>
        <w:gridCol w:w="6376"/>
      </w:tblGrid>
      <w:tr w14:paraId="2CA1A5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917" w:type="dxa"/>
            <w:tcBorders>
              <w:top w:val="single" w:color="000000" w:sz="4" w:space="0"/>
              <w:left w:val="single" w:color="000000" w:sz="4" w:space="0"/>
              <w:bottom w:val="single" w:color="000000" w:sz="4" w:space="0"/>
              <w:right w:val="single" w:color="000000" w:sz="4" w:space="0"/>
            </w:tcBorders>
          </w:tcPr>
          <w:p w14:paraId="71D7CE80">
            <w:pPr>
              <w:widowControl/>
              <w:spacing w:line="460" w:lineRule="exact"/>
              <w:jc w:val="center"/>
              <w:rPr>
                <w:rFonts w:ascii="宋体" w:hAnsi="宋体" w:cs="宋体"/>
                <w:b/>
                <w:highlight w:val="none"/>
              </w:rPr>
            </w:pPr>
            <w:r>
              <w:rPr>
                <w:rFonts w:hint="eastAsia" w:ascii="宋体" w:hAnsi="宋体" w:cs="宋体"/>
                <w:b/>
                <w:highlight w:val="none"/>
                <w:lang w:bidi="ar"/>
              </w:rPr>
              <w:t>产品名称</w:t>
            </w:r>
          </w:p>
        </w:tc>
        <w:tc>
          <w:tcPr>
            <w:tcW w:w="6376" w:type="dxa"/>
            <w:tcBorders>
              <w:top w:val="single" w:color="000000" w:sz="4" w:space="0"/>
              <w:left w:val="single" w:color="000000" w:sz="4" w:space="0"/>
              <w:bottom w:val="single" w:color="000000" w:sz="4" w:space="0"/>
              <w:right w:val="single" w:color="000000" w:sz="4" w:space="0"/>
            </w:tcBorders>
          </w:tcPr>
          <w:p w14:paraId="6A119A1E">
            <w:pPr>
              <w:widowControl/>
              <w:spacing w:line="460" w:lineRule="exact"/>
              <w:jc w:val="center"/>
              <w:rPr>
                <w:rFonts w:ascii="宋体" w:hAnsi="宋体" w:cs="宋体"/>
                <w:b/>
                <w:highlight w:val="none"/>
              </w:rPr>
            </w:pPr>
            <w:r>
              <w:rPr>
                <w:rFonts w:hint="eastAsia" w:ascii="宋体" w:hAnsi="宋体" w:cs="宋体"/>
                <w:b/>
                <w:highlight w:val="none"/>
                <w:lang w:bidi="ar"/>
              </w:rPr>
              <w:t>详细要求与技术参数</w:t>
            </w:r>
          </w:p>
        </w:tc>
      </w:tr>
      <w:tr w14:paraId="68DF95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trPr>
        <w:tc>
          <w:tcPr>
            <w:tcW w:w="1917" w:type="dxa"/>
            <w:tcBorders>
              <w:left w:val="single" w:color="000000" w:sz="4" w:space="0"/>
              <w:right w:val="single" w:color="000000" w:sz="4" w:space="0"/>
            </w:tcBorders>
            <w:vAlign w:val="center"/>
          </w:tcPr>
          <w:p w14:paraId="44493CA0">
            <w:pPr>
              <w:widowControl/>
              <w:spacing w:line="460" w:lineRule="exact"/>
              <w:jc w:val="center"/>
              <w:rPr>
                <w:rFonts w:ascii="宋体" w:hAnsi="宋体" w:cs="宋体"/>
                <w:b/>
                <w:bCs/>
                <w:highlight w:val="none"/>
              </w:rPr>
            </w:pPr>
            <w:r>
              <w:rPr>
                <w:rFonts w:hint="eastAsia" w:ascii="宋体" w:hAnsi="宋体" w:cs="宋体"/>
                <w:b/>
                <w:bCs/>
                <w:highlight w:val="none"/>
              </w:rPr>
              <w:t>“学习强国”平台运维项目</w:t>
            </w:r>
          </w:p>
        </w:tc>
        <w:tc>
          <w:tcPr>
            <w:tcW w:w="6376" w:type="dxa"/>
            <w:tcBorders>
              <w:top w:val="single" w:color="000000" w:sz="4" w:space="0"/>
              <w:left w:val="single" w:color="000000" w:sz="4" w:space="0"/>
              <w:right w:val="single" w:color="000000" w:sz="4" w:space="0"/>
            </w:tcBorders>
          </w:tcPr>
          <w:p w14:paraId="6EF3D63B">
            <w:pPr>
              <w:widowControl/>
              <w:spacing w:line="460" w:lineRule="exact"/>
              <w:jc w:val="left"/>
              <w:outlineLvl w:val="1"/>
              <w:rPr>
                <w:rFonts w:ascii="宋体" w:hAnsi="宋体" w:cs="宋体"/>
                <w:b/>
                <w:highlight w:val="none"/>
              </w:rPr>
            </w:pPr>
            <w:r>
              <w:rPr>
                <w:rFonts w:hint="eastAsia" w:ascii="宋体" w:hAnsi="宋体" w:cs="宋体"/>
                <w:b/>
                <w:highlight w:val="none"/>
              </w:rPr>
              <w:t>整体要求：</w:t>
            </w:r>
          </w:p>
          <w:p w14:paraId="52A9B6D6">
            <w:pPr>
              <w:widowControl/>
              <w:spacing w:line="460" w:lineRule="exact"/>
              <w:jc w:val="left"/>
              <w:outlineLvl w:val="1"/>
              <w:rPr>
                <w:rFonts w:hint="default" w:ascii="宋体" w:hAnsi="宋体" w:eastAsia="宋体" w:cs="宋体"/>
                <w:b w:val="0"/>
                <w:bCs/>
                <w:highlight w:val="none"/>
                <w:lang w:val="en-US" w:eastAsia="zh-CN"/>
              </w:rPr>
            </w:pPr>
            <w:r>
              <w:rPr>
                <w:rFonts w:hint="eastAsia" w:ascii="宋体" w:hAnsi="宋体" w:cs="宋体"/>
                <w:b w:val="0"/>
                <w:bCs/>
                <w:highlight w:val="none"/>
              </w:rPr>
              <w:t>负责“学习强国”福建学习平台“学校思政”“青春福建”“爱学习有福气”栏目运维。须配备专职专业编辑人员至少1名，负责平台日常运维，根据采编内容或相关材料，及时更新相关栏目或板块内容，对提供的素材进行审核、精编、发布，确保平台每日更新。</w:t>
            </w:r>
            <w:r>
              <w:rPr>
                <w:rFonts w:hint="eastAsia" w:ascii="宋体" w:hAnsi="宋体" w:cs="宋体"/>
                <w:b w:val="0"/>
                <w:bCs/>
                <w:highlight w:val="none"/>
                <w:lang w:val="en-US" w:eastAsia="zh-CN"/>
              </w:rPr>
              <w:t>服务自合同签订之日起生效，服务期9个月。</w:t>
            </w:r>
          </w:p>
          <w:p w14:paraId="7606308E">
            <w:pPr>
              <w:widowControl/>
              <w:spacing w:line="460" w:lineRule="exact"/>
              <w:jc w:val="left"/>
              <w:outlineLvl w:val="1"/>
              <w:rPr>
                <w:rFonts w:hint="eastAsia" w:ascii="宋体" w:hAnsi="宋体" w:cs="宋体"/>
                <w:b/>
                <w:highlight w:val="none"/>
                <w:lang w:val="en-US" w:eastAsia="zh-CN"/>
              </w:rPr>
            </w:pPr>
            <w:r>
              <w:rPr>
                <w:rFonts w:hint="eastAsia" w:ascii="宋体" w:hAnsi="宋体" w:cs="宋体"/>
                <w:b/>
                <w:highlight w:val="none"/>
                <w:lang w:val="en-US" w:eastAsia="zh-CN"/>
              </w:rPr>
              <w:t>技术要求：</w:t>
            </w:r>
          </w:p>
          <w:p w14:paraId="39701681">
            <w:pPr>
              <w:widowControl/>
              <w:spacing w:line="460" w:lineRule="exact"/>
              <w:jc w:val="left"/>
              <w:outlineLvl w:val="1"/>
              <w:rPr>
                <w:rFonts w:hint="eastAsia" w:ascii="宋体" w:hAnsi="宋体" w:cs="宋体"/>
                <w:b w:val="0"/>
                <w:bCs/>
                <w:highlight w:val="none"/>
                <w:lang w:val="en-US" w:eastAsia="zh-CN"/>
              </w:rPr>
            </w:pPr>
            <w:r>
              <w:rPr>
                <w:rFonts w:hint="eastAsia" w:ascii="宋体" w:hAnsi="宋体" w:cs="宋体"/>
                <w:b w:val="0"/>
                <w:bCs/>
                <w:highlight w:val="none"/>
                <w:lang w:val="en-US" w:eastAsia="zh-CN"/>
              </w:rPr>
              <w:t>1、组织骨干专业记者为采编团队，指定1名编辑负责栏目日常运维，同时常态化配备至少1名资深策划采编人员，根据年度重点宣传计划，开展主题宣传策划、采访。</w:t>
            </w:r>
          </w:p>
          <w:p w14:paraId="060FD121">
            <w:pPr>
              <w:widowControl/>
              <w:spacing w:line="460" w:lineRule="exact"/>
              <w:jc w:val="left"/>
              <w:outlineLvl w:val="1"/>
              <w:rPr>
                <w:rFonts w:hint="eastAsia" w:ascii="宋体" w:hAnsi="宋体" w:cs="宋体"/>
                <w:b w:val="0"/>
                <w:bCs/>
                <w:highlight w:val="none"/>
                <w:lang w:val="en-US" w:eastAsia="zh-CN"/>
              </w:rPr>
            </w:pPr>
            <w:r>
              <w:rPr>
                <w:rFonts w:hint="eastAsia" w:ascii="宋体" w:hAnsi="宋体" w:cs="宋体"/>
                <w:b w:val="0"/>
                <w:bCs/>
                <w:highlight w:val="none"/>
                <w:lang w:val="en-US" w:eastAsia="zh-CN"/>
              </w:rPr>
              <w:t>2、负责学习强国栏目审稿，日均更新不少于2篇。</w:t>
            </w:r>
          </w:p>
          <w:p w14:paraId="23AECA8F">
            <w:pPr>
              <w:widowControl/>
              <w:spacing w:line="460" w:lineRule="exact"/>
              <w:jc w:val="left"/>
              <w:outlineLvl w:val="1"/>
              <w:rPr>
                <w:rFonts w:hint="eastAsia" w:ascii="宋体" w:hAnsi="宋体" w:cs="宋体"/>
                <w:b w:val="0"/>
                <w:bCs/>
                <w:highlight w:val="none"/>
                <w:lang w:val="en-US" w:eastAsia="zh-CN"/>
              </w:rPr>
            </w:pPr>
            <w:r>
              <w:rPr>
                <w:rFonts w:hint="eastAsia" w:ascii="宋体" w:hAnsi="宋体" w:cs="宋体"/>
                <w:b w:val="0"/>
                <w:bCs/>
                <w:highlight w:val="none"/>
                <w:lang w:val="en-US" w:eastAsia="zh-CN"/>
              </w:rPr>
              <w:t>3、负责和学习强国福建平台审稿人员日常沟通。</w:t>
            </w:r>
          </w:p>
          <w:p w14:paraId="4D71DD33">
            <w:pPr>
              <w:widowControl/>
              <w:spacing w:line="460" w:lineRule="exact"/>
              <w:jc w:val="left"/>
              <w:outlineLvl w:val="1"/>
              <w:rPr>
                <w:rFonts w:hint="eastAsia" w:ascii="宋体" w:hAnsi="宋体" w:cs="宋体"/>
                <w:highlight w:val="none"/>
                <w:lang w:val="en-US" w:eastAsia="zh-CN"/>
              </w:rPr>
            </w:pPr>
            <w:r>
              <w:rPr>
                <w:rFonts w:hint="eastAsia" w:ascii="宋体" w:hAnsi="宋体" w:cs="宋体"/>
                <w:b/>
                <w:highlight w:val="none"/>
                <w:lang w:val="en-US" w:eastAsia="zh-CN"/>
              </w:rPr>
              <w:t>各主题内容要求</w:t>
            </w:r>
            <w:r>
              <w:rPr>
                <w:rFonts w:hint="eastAsia" w:ascii="宋体" w:hAnsi="宋体" w:cs="宋体"/>
                <w:highlight w:val="none"/>
                <w:lang w:val="en-US" w:eastAsia="zh-CN"/>
              </w:rPr>
              <w:t>：</w:t>
            </w:r>
          </w:p>
          <w:p w14:paraId="7DCFCB0E">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1、“学校思政”：选编推送党中央、国务院和省委、省政府，教育部以及省委教育工委、省教育厅等教育相关政策、新闻报道等，刊发福建教育系统思政相关热点资讯和工作动态。</w:t>
            </w:r>
          </w:p>
          <w:p w14:paraId="50EAFFC9">
            <w:pPr>
              <w:widowControl/>
              <w:spacing w:line="460" w:lineRule="exact"/>
              <w:jc w:val="left"/>
              <w:outlineLvl w:val="1"/>
              <w:rPr>
                <w:rFonts w:hint="default" w:ascii="宋体" w:hAnsi="宋体" w:cs="宋体"/>
                <w:highlight w:val="none"/>
                <w:lang w:val="en-US" w:eastAsia="zh-CN"/>
              </w:rPr>
            </w:pPr>
            <w:r>
              <w:rPr>
                <w:rFonts w:hint="eastAsia" w:ascii="宋体" w:hAnsi="宋体" w:cs="宋体"/>
                <w:highlight w:val="none"/>
                <w:lang w:val="en-US" w:eastAsia="zh-CN"/>
              </w:rPr>
              <w:t>2、“青春福建”：传达党和国家、省委省政府关于青年工作及教育方面的重要会议精神及重大决策部署；发布实习、就业岗位信息（校招）；发布奖学金、助学金、三支一扶等项目招募信息；选登青年驿站、人才公寓（仅针对毕业生）申请指南。</w:t>
            </w:r>
          </w:p>
          <w:p w14:paraId="37800C15">
            <w:pPr>
              <w:widowControl/>
              <w:spacing w:line="460" w:lineRule="exact"/>
              <w:jc w:val="left"/>
              <w:outlineLvl w:val="1"/>
              <w:rPr>
                <w:rFonts w:hint="eastAsia" w:ascii="宋体" w:hAnsi="宋体" w:cs="宋体"/>
                <w:highlight w:val="none"/>
                <w:lang w:val="en-US" w:eastAsia="zh-CN"/>
              </w:rPr>
            </w:pPr>
            <w:r>
              <w:rPr>
                <w:rFonts w:hint="eastAsia" w:ascii="宋体" w:hAnsi="宋体" w:cs="宋体"/>
                <w:highlight w:val="none"/>
                <w:lang w:val="en-US" w:eastAsia="zh-CN"/>
              </w:rPr>
              <w:t>3、“爱学习有福气”：</w:t>
            </w:r>
          </w:p>
          <w:p w14:paraId="138232AD">
            <w:pPr>
              <w:widowControl/>
              <w:spacing w:line="460" w:lineRule="exact"/>
              <w:jc w:val="left"/>
              <w:outlineLvl w:val="1"/>
              <w:rPr>
                <w:rFonts w:hint="eastAsia" w:ascii="宋体" w:hAnsi="宋体" w:cs="宋体"/>
                <w:highlight w:val="none"/>
                <w:lang w:val="en-US" w:eastAsia="zh-CN"/>
              </w:rPr>
            </w:pPr>
            <w:r>
              <w:rPr>
                <w:rFonts w:hint="eastAsia" w:ascii="宋体" w:hAnsi="宋体" w:cs="宋体"/>
                <w:highlight w:val="none"/>
                <w:lang w:val="en-US" w:eastAsia="zh-CN"/>
              </w:rPr>
              <w:t>（1）科普知识：刊登科普教育类知识，包括但不限于科学领域的各个方面，从日常生活到物理、化学、生物、自然等各个学科。</w:t>
            </w:r>
          </w:p>
          <w:p w14:paraId="2EA44C2F">
            <w:pPr>
              <w:widowControl/>
              <w:spacing w:line="460" w:lineRule="exact"/>
              <w:jc w:val="left"/>
              <w:outlineLvl w:val="1"/>
              <w:rPr>
                <w:rFonts w:ascii="宋体" w:hAnsi="宋体" w:eastAsia="宋体" w:cs="宋体"/>
                <w:sz w:val="24"/>
                <w:highlight w:val="none"/>
              </w:rPr>
            </w:pPr>
            <w:r>
              <w:rPr>
                <w:rFonts w:hint="eastAsia" w:ascii="宋体" w:hAnsi="宋体" w:cs="宋体"/>
                <w:highlight w:val="none"/>
                <w:lang w:val="en-US" w:eastAsia="zh-CN"/>
              </w:rPr>
              <w:t>（2）书香八闽：选登优秀图书及书评推荐，以及书店书屋等各类书香活动建设情况。</w:t>
            </w:r>
          </w:p>
        </w:tc>
      </w:tr>
    </w:tbl>
    <w:p w14:paraId="0467F2AC">
      <w:pPr>
        <w:pStyle w:val="2"/>
        <w:numPr>
          <w:ilvl w:val="0"/>
          <w:numId w:val="0"/>
        </w:numPr>
        <w:spacing w:line="460" w:lineRule="exact"/>
        <w:rPr>
          <w:rFonts w:hint="eastAsia"/>
          <w:highlight w:val="none"/>
          <w:lang w:val="en-US" w:eastAsia="zh-CN"/>
        </w:rPr>
      </w:pPr>
      <w:r>
        <w:rPr>
          <w:rFonts w:hint="eastAsia"/>
          <w:highlight w:val="none"/>
          <w:lang w:val="en-US" w:eastAsia="zh-CN"/>
        </w:rPr>
        <w:t>供应商资质要求</w:t>
      </w:r>
    </w:p>
    <w:p w14:paraId="2D8DCCDB">
      <w:pPr>
        <w:pStyle w:val="2"/>
        <w:numPr>
          <w:ilvl w:val="0"/>
          <w:numId w:val="0"/>
        </w:numPr>
        <w:spacing w:line="460" w:lineRule="exact"/>
        <w:ind w:firstLine="480" w:firstLineChars="200"/>
        <w:rPr>
          <w:rFonts w:hint="eastAsia" w:ascii="宋体" w:hAnsi="宋体" w:cs="宋体"/>
          <w:highlight w:val="none"/>
          <w:lang w:val="en-US" w:eastAsia="zh-CN"/>
        </w:rPr>
      </w:pPr>
      <w:r>
        <w:rPr>
          <w:rFonts w:hint="eastAsia" w:ascii="宋体" w:hAnsi="微软雅黑" w:eastAsia="宋体" w:cs="微软雅黑"/>
          <w:b w:val="0"/>
          <w:bCs/>
          <w:i w:val="0"/>
          <w:sz w:val="24"/>
          <w:highlight w:val="none"/>
          <w:u w:val="none"/>
          <w:lang w:eastAsia="zh-CN"/>
        </w:rPr>
        <w:t>投标人需具备</w:t>
      </w:r>
      <w:bookmarkStart w:id="0" w:name="_GoBack"/>
      <w:r>
        <w:rPr>
          <w:rFonts w:hint="eastAsia" w:ascii="宋体" w:hAnsi="微软雅黑" w:eastAsia="宋体" w:cs="微软雅黑"/>
          <w:b w:val="0"/>
          <w:bCs/>
          <w:i w:val="0"/>
          <w:sz w:val="24"/>
          <w:highlight w:val="none"/>
          <w:u w:val="none"/>
          <w:lang w:eastAsia="zh-CN"/>
        </w:rPr>
        <w:t>互联网新闻信息服务许可证</w:t>
      </w:r>
      <w:bookmarkEnd w:id="0"/>
      <w:r>
        <w:rPr>
          <w:rFonts w:hint="eastAsia" w:ascii="宋体" w:hAnsi="微软雅黑" w:eastAsia="宋体" w:cs="微软雅黑"/>
          <w:b w:val="0"/>
          <w:bCs/>
          <w:i w:val="0"/>
          <w:sz w:val="24"/>
          <w:highlight w:val="none"/>
          <w:u w:val="none"/>
          <w:lang w:eastAsia="zh-CN"/>
        </w:rPr>
        <w:t>。（</w:t>
      </w:r>
      <w:r>
        <w:rPr>
          <w:rFonts w:hint="eastAsia" w:ascii="宋体" w:hAnsi="微软雅黑" w:eastAsia="宋体" w:cs="微软雅黑"/>
          <w:b/>
          <w:bCs w:val="0"/>
          <w:i w:val="0"/>
          <w:sz w:val="24"/>
          <w:highlight w:val="none"/>
          <w:u w:val="none"/>
          <w:lang w:eastAsia="zh-CN"/>
        </w:rPr>
        <w:t>需提供相关证书复印件</w:t>
      </w:r>
      <w:r>
        <w:rPr>
          <w:rFonts w:hint="eastAsia" w:ascii="宋体" w:hAnsi="微软雅黑" w:eastAsia="宋体" w:cs="微软雅黑"/>
          <w:b w:val="0"/>
          <w:bCs/>
          <w:i w:val="0"/>
          <w:sz w:val="24"/>
          <w:highlight w:val="none"/>
          <w:u w:val="none"/>
          <w:lang w:eastAsia="zh-CN"/>
        </w:rPr>
        <w:t>）。</w:t>
      </w:r>
    </w:p>
    <w:p w14:paraId="7857DF30">
      <w:pPr>
        <w:pStyle w:val="7"/>
        <w:numPr>
          <w:ilvl w:val="0"/>
          <w:numId w:val="0"/>
        </w:numPr>
        <w:autoSpaceDE w:val="0"/>
        <w:spacing w:line="460" w:lineRule="exact"/>
        <w:jc w:val="left"/>
        <w:rPr>
          <w:rFonts w:ascii="宋体" w:hAnsi="宋体" w:cs="宋体"/>
          <w:b/>
          <w:kern w:val="44"/>
          <w:sz w:val="28"/>
          <w:highlight w:val="none"/>
        </w:rPr>
      </w:pPr>
      <w:r>
        <w:rPr>
          <w:rFonts w:hint="eastAsia" w:ascii="宋体" w:hAnsi="宋体" w:cs="宋体"/>
          <w:b/>
          <w:kern w:val="44"/>
          <w:sz w:val="28"/>
          <w:highlight w:val="none"/>
        </w:rPr>
        <w:t>评选办法</w:t>
      </w:r>
    </w:p>
    <w:p w14:paraId="17694772">
      <w:pPr>
        <w:spacing w:line="500" w:lineRule="exact"/>
        <w:ind w:firstLine="480" w:firstLineChars="200"/>
        <w:rPr>
          <w:sz w:val="24"/>
          <w:szCs w:val="24"/>
          <w:highlight w:val="none"/>
        </w:rPr>
      </w:pPr>
      <w:r>
        <w:rPr>
          <w:rFonts w:hint="eastAsia"/>
          <w:sz w:val="24"/>
          <w:szCs w:val="24"/>
          <w:highlight w:val="none"/>
        </w:rPr>
        <w:t>本项目选用综合评议法评定供应商（总分值为100分，得分最高的</w:t>
      </w:r>
      <w:r>
        <w:rPr>
          <w:rFonts w:hint="eastAsia"/>
          <w:sz w:val="24"/>
          <w:szCs w:val="24"/>
          <w:highlight w:val="none"/>
          <w:lang w:val="en-US" w:eastAsia="zh-CN"/>
        </w:rPr>
        <w:t>供应商</w:t>
      </w:r>
      <w:r>
        <w:rPr>
          <w:rFonts w:hint="eastAsia"/>
          <w:sz w:val="24"/>
          <w:szCs w:val="24"/>
          <w:highlight w:val="none"/>
        </w:rPr>
        <w:t>确定为中标成交人），评定标准如下：</w:t>
      </w:r>
    </w:p>
    <w:p w14:paraId="727AD3E5">
      <w:pPr>
        <w:spacing w:line="500" w:lineRule="exact"/>
        <w:rPr>
          <w:sz w:val="28"/>
          <w:szCs w:val="28"/>
          <w:highlight w:val="none"/>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0"/>
        <w:gridCol w:w="4016"/>
        <w:gridCol w:w="1664"/>
      </w:tblGrid>
      <w:tr w14:paraId="35BCDE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1AB38464">
            <w:pPr>
              <w:spacing w:line="500" w:lineRule="exact"/>
              <w:jc w:val="center"/>
              <w:rPr>
                <w:sz w:val="28"/>
                <w:szCs w:val="28"/>
                <w:highlight w:val="none"/>
              </w:rPr>
            </w:pPr>
            <w:r>
              <w:rPr>
                <w:rFonts w:hint="eastAsia"/>
                <w:sz w:val="28"/>
                <w:szCs w:val="28"/>
                <w:highlight w:val="none"/>
              </w:rPr>
              <w:t>评分项目</w:t>
            </w:r>
          </w:p>
        </w:tc>
        <w:tc>
          <w:tcPr>
            <w:tcW w:w="4016" w:type="dxa"/>
          </w:tcPr>
          <w:p w14:paraId="01DF5D3A">
            <w:pPr>
              <w:spacing w:line="500" w:lineRule="exact"/>
              <w:jc w:val="center"/>
              <w:rPr>
                <w:sz w:val="28"/>
                <w:szCs w:val="28"/>
                <w:highlight w:val="none"/>
              </w:rPr>
            </w:pPr>
            <w:r>
              <w:rPr>
                <w:rFonts w:hint="eastAsia"/>
                <w:sz w:val="28"/>
                <w:szCs w:val="28"/>
                <w:highlight w:val="none"/>
              </w:rPr>
              <w:t>评分标准</w:t>
            </w:r>
          </w:p>
        </w:tc>
        <w:tc>
          <w:tcPr>
            <w:tcW w:w="1664" w:type="dxa"/>
          </w:tcPr>
          <w:p w14:paraId="615AF5E5">
            <w:pPr>
              <w:spacing w:line="500" w:lineRule="exact"/>
              <w:jc w:val="center"/>
              <w:rPr>
                <w:sz w:val="28"/>
                <w:szCs w:val="28"/>
                <w:highlight w:val="none"/>
              </w:rPr>
            </w:pPr>
            <w:r>
              <w:rPr>
                <w:rFonts w:hint="eastAsia"/>
                <w:sz w:val="28"/>
                <w:szCs w:val="28"/>
                <w:highlight w:val="none"/>
              </w:rPr>
              <w:t>评分分值</w:t>
            </w:r>
          </w:p>
        </w:tc>
      </w:tr>
      <w:tr w14:paraId="7C9F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tcPr>
          <w:p w14:paraId="4A163526">
            <w:pPr>
              <w:rPr>
                <w:rFonts w:ascii="宋体" w:hAnsi="宋体" w:cs="宋体"/>
                <w:highlight w:val="none"/>
              </w:rPr>
            </w:pPr>
            <w:r>
              <w:rPr>
                <w:rFonts w:hint="eastAsia" w:ascii="宋体" w:hAnsi="宋体" w:cs="宋体"/>
                <w:highlight w:val="none"/>
              </w:rPr>
              <w:t>报价部分</w:t>
            </w:r>
          </w:p>
          <w:p w14:paraId="4CB8E408">
            <w:pPr>
              <w:rPr>
                <w:rFonts w:ascii="宋体" w:hAnsi="宋体" w:cs="宋体"/>
                <w:highlight w:val="none"/>
              </w:rPr>
            </w:pPr>
            <w:r>
              <w:rPr>
                <w:rFonts w:hint="eastAsia" w:ascii="宋体" w:hAnsi="宋体" w:cs="宋体"/>
                <w:highlight w:val="none"/>
              </w:rPr>
              <w:t>（满分</w:t>
            </w:r>
            <w:r>
              <w:rPr>
                <w:rFonts w:hint="eastAsia" w:ascii="宋体" w:hAnsi="宋体" w:cs="宋体"/>
                <w:highlight w:val="none"/>
                <w:lang w:val="en-US" w:eastAsia="zh-CN"/>
              </w:rPr>
              <w:t>10</w:t>
            </w:r>
            <w:r>
              <w:rPr>
                <w:rFonts w:hint="eastAsia" w:ascii="宋体" w:hAnsi="宋体" w:cs="宋体"/>
                <w:highlight w:val="none"/>
              </w:rPr>
              <w:t>分）</w:t>
            </w:r>
          </w:p>
        </w:tc>
        <w:tc>
          <w:tcPr>
            <w:tcW w:w="4016" w:type="dxa"/>
          </w:tcPr>
          <w:p w14:paraId="465E4B0A">
            <w:pPr>
              <w:rPr>
                <w:rFonts w:ascii="宋体" w:hAnsi="宋体" w:cs="宋体"/>
                <w:highlight w:val="none"/>
              </w:rPr>
            </w:pPr>
            <w:r>
              <w:rPr>
                <w:rFonts w:hint="eastAsia" w:ascii="宋体" w:hAnsi="宋体" w:cs="宋体"/>
                <w:highlight w:val="none"/>
              </w:rPr>
              <w:t>评标基准价：满足招标文件要求且价格最低的有效报价为评标基准价，其价格分为满分（10分）。其他</w:t>
            </w:r>
            <w:r>
              <w:rPr>
                <w:rFonts w:hint="eastAsia" w:ascii="宋体" w:hAnsi="宋体" w:cs="宋体"/>
                <w:highlight w:val="none"/>
                <w:lang w:val="en-US" w:eastAsia="zh-CN"/>
              </w:rPr>
              <w:t>供应商</w:t>
            </w:r>
            <w:r>
              <w:rPr>
                <w:rFonts w:hint="eastAsia" w:ascii="宋体" w:hAnsi="宋体" w:cs="宋体"/>
                <w:highlight w:val="none"/>
              </w:rPr>
              <w:t>报价得分：报价得分=(评标基准价／投标报价)×10（四舍五入后保留小数点后两位）</w:t>
            </w:r>
          </w:p>
        </w:tc>
        <w:tc>
          <w:tcPr>
            <w:tcW w:w="1664" w:type="dxa"/>
          </w:tcPr>
          <w:p w14:paraId="2A181821">
            <w:pPr>
              <w:rPr>
                <w:rFonts w:ascii="宋体" w:hAnsi="宋体" w:cs="宋体"/>
                <w:highlight w:val="none"/>
              </w:rPr>
            </w:pPr>
            <w:r>
              <w:rPr>
                <w:rFonts w:hint="eastAsia" w:ascii="宋体" w:hAnsi="宋体" w:cs="宋体"/>
                <w:highlight w:val="none"/>
                <w:lang w:val="en-US" w:eastAsia="zh-CN"/>
              </w:rPr>
              <w:t>10</w:t>
            </w:r>
            <w:r>
              <w:rPr>
                <w:rFonts w:hint="eastAsia" w:ascii="宋体" w:hAnsi="宋体" w:cs="宋体"/>
                <w:highlight w:val="none"/>
              </w:rPr>
              <w:t>分</w:t>
            </w:r>
          </w:p>
        </w:tc>
      </w:tr>
      <w:tr w14:paraId="2A163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restart"/>
          </w:tcPr>
          <w:p w14:paraId="206BD7A3">
            <w:pPr>
              <w:rPr>
                <w:rFonts w:ascii="宋体" w:hAnsi="宋体" w:cs="宋体"/>
                <w:color w:val="auto"/>
                <w:highlight w:val="none"/>
              </w:rPr>
            </w:pPr>
            <w:r>
              <w:rPr>
                <w:rFonts w:hint="eastAsia" w:ascii="宋体" w:hAnsi="宋体" w:cs="宋体"/>
                <w:color w:val="auto"/>
                <w:highlight w:val="none"/>
                <w:lang w:val="en-US" w:eastAsia="zh-CN"/>
              </w:rPr>
              <w:t>技术支持</w:t>
            </w:r>
            <w:r>
              <w:rPr>
                <w:rFonts w:hint="eastAsia" w:ascii="宋体" w:hAnsi="宋体" w:cs="宋体"/>
                <w:color w:val="auto"/>
                <w:highlight w:val="none"/>
              </w:rPr>
              <w:t>（满分</w:t>
            </w:r>
            <w:r>
              <w:rPr>
                <w:rFonts w:hint="eastAsia" w:ascii="宋体" w:hAnsi="宋体" w:cs="宋体"/>
                <w:color w:val="auto"/>
                <w:highlight w:val="none"/>
                <w:lang w:val="en-US" w:eastAsia="zh-CN"/>
              </w:rPr>
              <w:t>40</w:t>
            </w:r>
            <w:r>
              <w:rPr>
                <w:rFonts w:hint="eastAsia" w:ascii="宋体" w:hAnsi="宋体" w:cs="宋体"/>
                <w:color w:val="auto"/>
                <w:highlight w:val="none"/>
              </w:rPr>
              <w:t>分）</w:t>
            </w:r>
          </w:p>
        </w:tc>
        <w:tc>
          <w:tcPr>
            <w:tcW w:w="4016" w:type="dxa"/>
            <w:shd w:val="clear" w:color="auto" w:fill="auto"/>
            <w:vAlign w:val="top"/>
          </w:tcPr>
          <w:p w14:paraId="028BF950">
            <w:pPr>
              <w:jc w:val="left"/>
              <w:rPr>
                <w:rFonts w:ascii="宋体" w:hAnsi="宋体" w:eastAsia="宋体" w:cs="宋体"/>
                <w:color w:val="auto"/>
                <w:kern w:val="2"/>
                <w:sz w:val="24"/>
                <w:szCs w:val="24"/>
                <w:highlight w:val="none"/>
                <w:lang w:val="en-US" w:eastAsia="zh-CN" w:bidi="ar-SA"/>
              </w:rPr>
            </w:pPr>
            <w:r>
              <w:rPr>
                <w:rFonts w:hint="eastAsia" w:ascii="宋体" w:hAnsi="宋体" w:cs="宋体"/>
                <w:bCs/>
                <w:color w:val="auto"/>
                <w:highlight w:val="none"/>
                <w:lang w:val="en-US" w:eastAsia="zh-CN"/>
              </w:rPr>
              <w:t>具有完成“学习强国”平台运维</w:t>
            </w:r>
            <w:r>
              <w:rPr>
                <w:rFonts w:hint="eastAsia" w:ascii="宋体" w:hAnsi="宋体" w:cs="宋体"/>
                <w:bCs/>
                <w:color w:val="auto"/>
                <w:highlight w:val="none"/>
              </w:rPr>
              <w:t>项目</w:t>
            </w:r>
            <w:r>
              <w:rPr>
                <w:rFonts w:hint="eastAsia" w:ascii="宋体" w:hAnsi="宋体" w:cs="宋体"/>
                <w:bCs/>
                <w:color w:val="auto"/>
                <w:highlight w:val="none"/>
                <w:lang w:val="en-US" w:eastAsia="zh-CN"/>
              </w:rPr>
              <w:t>或同类/相关项目建设经验</w:t>
            </w:r>
            <w:r>
              <w:rPr>
                <w:rFonts w:hint="eastAsia" w:ascii="宋体" w:hAnsi="宋体" w:cs="宋体"/>
                <w:bCs/>
                <w:color w:val="auto"/>
                <w:highlight w:val="none"/>
              </w:rPr>
              <w:t>。须提供能体现其参与</w:t>
            </w:r>
            <w:r>
              <w:rPr>
                <w:rFonts w:hint="eastAsia" w:ascii="宋体" w:hAnsi="宋体" w:cs="宋体"/>
                <w:bCs/>
                <w:color w:val="auto"/>
                <w:highlight w:val="none"/>
                <w:lang w:val="en-US" w:eastAsia="zh-CN"/>
              </w:rPr>
              <w:t>“学习强国”平台运维</w:t>
            </w:r>
            <w:r>
              <w:rPr>
                <w:rFonts w:hint="eastAsia" w:ascii="宋体" w:hAnsi="宋体" w:cs="宋体"/>
                <w:bCs/>
                <w:color w:val="auto"/>
                <w:highlight w:val="none"/>
              </w:rPr>
              <w:t>或同类/相关项目建设的业绩证明材料（包含但不限于：项目合同关键页、项目启动文件或验收报告等）</w:t>
            </w:r>
            <w:r>
              <w:rPr>
                <w:rFonts w:hint="eastAsia" w:ascii="宋体" w:hAnsi="宋体" w:cs="宋体"/>
                <w:bCs/>
                <w:color w:val="auto"/>
                <w:highlight w:val="none"/>
                <w:lang w:val="en-US" w:eastAsia="zh-CN"/>
              </w:rPr>
              <w:t>并加盖公章</w:t>
            </w:r>
            <w:r>
              <w:rPr>
                <w:rFonts w:hint="eastAsia" w:ascii="宋体" w:hAnsi="宋体" w:cs="宋体"/>
                <w:bCs/>
                <w:color w:val="auto"/>
                <w:highlight w:val="none"/>
                <w:lang w:eastAsia="zh-CN"/>
              </w:rPr>
              <w:t>。每提供一个用户单位的业绩证明材料得</w:t>
            </w:r>
            <w:r>
              <w:rPr>
                <w:rFonts w:hint="eastAsia" w:ascii="宋体" w:hAnsi="宋体" w:cs="宋体"/>
                <w:bCs/>
                <w:color w:val="auto"/>
                <w:highlight w:val="none"/>
                <w:lang w:val="en-US" w:eastAsia="zh-CN"/>
              </w:rPr>
              <w:t>10</w:t>
            </w:r>
            <w:r>
              <w:rPr>
                <w:rFonts w:hint="eastAsia" w:ascii="宋体" w:hAnsi="宋体" w:cs="宋体"/>
                <w:bCs/>
                <w:color w:val="auto"/>
                <w:highlight w:val="none"/>
                <w:lang w:eastAsia="zh-CN"/>
              </w:rPr>
              <w:t>分，最多得</w:t>
            </w:r>
            <w:r>
              <w:rPr>
                <w:rFonts w:hint="eastAsia" w:ascii="宋体" w:hAnsi="宋体" w:cs="宋体"/>
                <w:bCs/>
                <w:color w:val="auto"/>
                <w:highlight w:val="none"/>
                <w:lang w:val="en-US" w:eastAsia="zh-CN"/>
              </w:rPr>
              <w:t>20</w:t>
            </w:r>
            <w:r>
              <w:rPr>
                <w:rFonts w:hint="eastAsia" w:ascii="宋体" w:hAnsi="宋体" w:cs="宋体"/>
                <w:bCs/>
                <w:color w:val="auto"/>
                <w:highlight w:val="none"/>
                <w:lang w:eastAsia="zh-CN"/>
              </w:rPr>
              <w:t>分。</w:t>
            </w:r>
          </w:p>
        </w:tc>
        <w:tc>
          <w:tcPr>
            <w:tcW w:w="1664" w:type="dxa"/>
            <w:shd w:val="clear" w:color="auto" w:fill="auto"/>
            <w:vAlign w:val="top"/>
          </w:tcPr>
          <w:p w14:paraId="3E8D8D17">
            <w:pPr>
              <w:rPr>
                <w:rFonts w:ascii="宋体" w:hAnsi="宋体" w:eastAsia="宋体" w:cs="宋体"/>
                <w:kern w:val="2"/>
                <w:sz w:val="24"/>
                <w:szCs w:val="24"/>
                <w:highlight w:val="none"/>
                <w:lang w:val="en-US" w:eastAsia="zh-CN" w:bidi="ar-SA"/>
              </w:rPr>
            </w:pPr>
            <w:r>
              <w:rPr>
                <w:rFonts w:hint="eastAsia" w:ascii="宋体" w:hAnsi="宋体" w:cs="宋体"/>
                <w:highlight w:val="none"/>
                <w:lang w:val="en-US" w:eastAsia="zh-CN"/>
              </w:rPr>
              <w:t>20</w:t>
            </w:r>
            <w:r>
              <w:rPr>
                <w:rFonts w:hint="eastAsia" w:ascii="宋体" w:hAnsi="宋体" w:cs="宋体"/>
                <w:highlight w:val="none"/>
              </w:rPr>
              <w:t>分</w:t>
            </w:r>
          </w:p>
        </w:tc>
      </w:tr>
      <w:tr w14:paraId="0C906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40" w:type="dxa"/>
            <w:vMerge w:val="continue"/>
          </w:tcPr>
          <w:p w14:paraId="1D72E18B">
            <w:pPr>
              <w:rPr>
                <w:rFonts w:hint="eastAsia" w:ascii="宋体" w:hAnsi="宋体" w:cs="宋体"/>
                <w:color w:val="auto"/>
                <w:highlight w:val="none"/>
                <w:lang w:val="en-US" w:eastAsia="zh-CN"/>
              </w:rPr>
            </w:pPr>
          </w:p>
        </w:tc>
        <w:tc>
          <w:tcPr>
            <w:tcW w:w="4016" w:type="dxa"/>
            <w:shd w:val="clear" w:color="auto" w:fill="auto"/>
            <w:vAlign w:val="top"/>
          </w:tcPr>
          <w:p w14:paraId="4A76EFBE">
            <w:pPr>
              <w:kinsoku/>
              <w:autoSpaceDE/>
              <w:autoSpaceDN/>
              <w:adjustRightInd/>
              <w:snapToGrid/>
              <w:spacing w:line="360" w:lineRule="auto"/>
              <w:ind w:right="67" w:rightChars="28"/>
              <w:jc w:val="left"/>
              <w:textAlignment w:val="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项目团队参与</w:t>
            </w:r>
            <w:r>
              <w:rPr>
                <w:rFonts w:hint="eastAsia" w:ascii="宋体" w:hAnsi="宋体" w:cs="宋体"/>
                <w:bCs/>
                <w:color w:val="auto"/>
                <w:highlight w:val="none"/>
                <w:lang w:val="en-US" w:eastAsia="zh-CN"/>
              </w:rPr>
              <w:t>“学习强国”平台运维</w:t>
            </w:r>
            <w:r>
              <w:rPr>
                <w:rFonts w:hint="eastAsia" w:ascii="宋体" w:hAnsi="宋体" w:cs="宋体"/>
                <w:color w:val="auto"/>
                <w:sz w:val="24"/>
                <w:szCs w:val="24"/>
                <w:lang w:val="en-US" w:eastAsia="zh-CN"/>
              </w:rPr>
              <w:t>或同类/相关项目建设至少1次，能够提供足够技术支持与售后响应。</w:t>
            </w:r>
          </w:p>
          <w:p w14:paraId="3F402FCF">
            <w:pPr>
              <w:numPr>
                <w:ilvl w:val="0"/>
                <w:numId w:val="0"/>
              </w:numPr>
              <w:kinsoku/>
              <w:autoSpaceDE/>
              <w:autoSpaceDN/>
              <w:adjustRightInd/>
              <w:snapToGrid/>
              <w:spacing w:line="360" w:lineRule="auto"/>
              <w:ind w:right="67" w:rightChars="28"/>
              <w:jc w:val="left"/>
              <w:textAlignment w:val="auto"/>
              <w:rPr>
                <w:rFonts w:hint="eastAsia" w:ascii="宋体" w:hAnsi="宋体" w:cs="宋体"/>
                <w:bCs/>
                <w:color w:val="auto"/>
                <w:highlight w:val="none"/>
              </w:rPr>
            </w:pPr>
            <w:r>
              <w:rPr>
                <w:rFonts w:hint="eastAsia" w:ascii="宋体" w:hAnsi="宋体" w:eastAsia="宋体" w:cs="宋体"/>
                <w:b w:val="0"/>
                <w:bCs w:val="0"/>
                <w:color w:val="auto"/>
                <w:sz w:val="24"/>
                <w:szCs w:val="24"/>
                <w:highlight w:val="none"/>
                <w:lang w:val="en-US" w:eastAsia="zh-CN"/>
              </w:rPr>
              <w:t>具有记者（或编辑）中级职称的，每提供一名得2分，</w:t>
            </w:r>
            <w:r>
              <w:rPr>
                <w:rFonts w:hint="eastAsia" w:ascii="宋体" w:hAnsi="宋体" w:eastAsia="宋体" w:cs="宋体"/>
                <w:b w:val="0"/>
                <w:bCs w:val="0"/>
                <w:color w:val="auto"/>
                <w:sz w:val="24"/>
                <w:szCs w:val="24"/>
                <w:highlight w:val="none"/>
              </w:rPr>
              <w:t>具有</w:t>
            </w:r>
            <w:r>
              <w:rPr>
                <w:rFonts w:hint="eastAsia" w:ascii="宋体" w:hAnsi="宋体" w:eastAsia="宋体" w:cs="宋体"/>
                <w:b w:val="0"/>
                <w:bCs w:val="0"/>
                <w:color w:val="auto"/>
                <w:sz w:val="24"/>
                <w:szCs w:val="24"/>
                <w:highlight w:val="none"/>
                <w:lang w:val="en-US" w:eastAsia="zh-CN"/>
              </w:rPr>
              <w:t>记者（或编辑）</w:t>
            </w:r>
            <w:r>
              <w:rPr>
                <w:rFonts w:hint="eastAsia" w:ascii="宋体" w:hAnsi="宋体" w:eastAsia="宋体" w:cs="宋体"/>
                <w:b w:val="0"/>
                <w:bCs w:val="0"/>
                <w:color w:val="auto"/>
                <w:sz w:val="24"/>
                <w:szCs w:val="24"/>
                <w:highlight w:val="none"/>
              </w:rPr>
              <w:t>副高及以上职称</w:t>
            </w:r>
            <w:r>
              <w:rPr>
                <w:rFonts w:hint="eastAsia" w:ascii="宋体" w:hAnsi="宋体" w:eastAsia="宋体" w:cs="宋体"/>
                <w:b w:val="0"/>
                <w:bCs w:val="0"/>
                <w:color w:val="auto"/>
                <w:sz w:val="24"/>
                <w:szCs w:val="24"/>
                <w:highlight w:val="none"/>
                <w:lang w:val="en-US" w:eastAsia="zh-CN"/>
              </w:rPr>
              <w:t>的</w:t>
            </w:r>
            <w:r>
              <w:rPr>
                <w:rFonts w:hint="eastAsia" w:ascii="宋体" w:hAnsi="宋体" w:eastAsia="宋体" w:cs="宋体"/>
                <w:b w:val="0"/>
                <w:bCs w:val="0"/>
                <w:color w:val="auto"/>
                <w:sz w:val="24"/>
                <w:szCs w:val="24"/>
                <w:highlight w:val="none"/>
              </w:rPr>
              <w:t>每提供一</w:t>
            </w:r>
            <w:r>
              <w:rPr>
                <w:rFonts w:hint="eastAsia" w:ascii="宋体" w:hAnsi="宋体" w:eastAsia="宋体" w:cs="宋体"/>
                <w:b w:val="0"/>
                <w:bCs w:val="0"/>
                <w:color w:val="auto"/>
                <w:sz w:val="24"/>
                <w:szCs w:val="24"/>
                <w:highlight w:val="none"/>
                <w:lang w:eastAsia="zh-CN"/>
              </w:rPr>
              <w:t>名</w:t>
            </w:r>
            <w:r>
              <w:rPr>
                <w:rFonts w:hint="eastAsia" w:ascii="宋体" w:hAnsi="宋体" w:eastAsia="宋体" w:cs="宋体"/>
                <w:b w:val="0"/>
                <w:bCs w:val="0"/>
                <w:color w:val="auto"/>
                <w:sz w:val="24"/>
                <w:szCs w:val="24"/>
                <w:highlight w:val="none"/>
              </w:rPr>
              <w:t>得</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分，满分</w:t>
            </w:r>
            <w:r>
              <w:rPr>
                <w:rFonts w:hint="eastAsia" w:ascii="宋体" w:hAnsi="宋体" w:eastAsia="宋体" w:cs="宋体"/>
                <w:b w:val="0"/>
                <w:bCs w:val="0"/>
                <w:color w:val="auto"/>
                <w:sz w:val="24"/>
                <w:szCs w:val="24"/>
                <w:highlight w:val="none"/>
                <w:lang w:val="en-US" w:eastAsia="zh-CN"/>
              </w:rPr>
              <w:t>20</w:t>
            </w:r>
            <w:r>
              <w:rPr>
                <w:rFonts w:hint="eastAsia" w:ascii="宋体" w:hAnsi="宋体" w:eastAsia="宋体" w:cs="宋体"/>
                <w:b w:val="0"/>
                <w:bCs w:val="0"/>
                <w:color w:val="auto"/>
                <w:sz w:val="24"/>
                <w:szCs w:val="24"/>
                <w:highlight w:val="none"/>
              </w:rPr>
              <w:t>分。</w:t>
            </w:r>
          </w:p>
        </w:tc>
        <w:tc>
          <w:tcPr>
            <w:tcW w:w="1664" w:type="dxa"/>
            <w:shd w:val="clear" w:color="auto" w:fill="auto"/>
            <w:vAlign w:val="top"/>
          </w:tcPr>
          <w:p w14:paraId="382A37DB">
            <w:pPr>
              <w:rPr>
                <w:rFonts w:hint="default" w:ascii="宋体" w:hAnsi="宋体" w:cs="宋体"/>
                <w:highlight w:val="none"/>
                <w:lang w:val="en-US" w:eastAsia="zh-CN"/>
              </w:rPr>
            </w:pPr>
            <w:r>
              <w:rPr>
                <w:rFonts w:hint="eastAsia" w:ascii="宋体" w:hAnsi="宋体" w:cs="宋体"/>
                <w:highlight w:val="none"/>
                <w:lang w:val="en-US" w:eastAsia="zh-CN"/>
              </w:rPr>
              <w:t>20分</w:t>
            </w:r>
          </w:p>
        </w:tc>
      </w:tr>
      <w:tr w14:paraId="46473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0" w:hRule="atLeast"/>
        </w:trPr>
        <w:tc>
          <w:tcPr>
            <w:tcW w:w="2840" w:type="dxa"/>
          </w:tcPr>
          <w:p w14:paraId="40FC637F">
            <w:pPr>
              <w:rPr>
                <w:rFonts w:hint="eastAsia" w:ascii="宋体" w:hAnsi="宋体" w:cs="宋体"/>
                <w:highlight w:val="none"/>
                <w:lang w:val="en-US" w:eastAsia="zh-CN"/>
              </w:rPr>
            </w:pPr>
            <w:r>
              <w:rPr>
                <w:rFonts w:hint="eastAsia" w:ascii="宋体" w:hAnsi="宋体" w:cs="宋体"/>
                <w:bCs/>
                <w:color w:val="auto"/>
                <w:highlight w:val="none"/>
                <w:lang w:val="en-US" w:eastAsia="zh-CN"/>
              </w:rPr>
              <w:t>“学习强国”平台运维</w:t>
            </w:r>
            <w:r>
              <w:rPr>
                <w:rFonts w:hint="eastAsia" w:ascii="宋体" w:hAnsi="宋体" w:cs="宋体"/>
                <w:highlight w:val="none"/>
                <w:lang w:val="en-US" w:eastAsia="zh-CN"/>
              </w:rPr>
              <w:t>方案</w:t>
            </w:r>
          </w:p>
          <w:p w14:paraId="2B179C19">
            <w:pPr>
              <w:rPr>
                <w:rFonts w:ascii="宋体" w:hAnsi="宋体" w:cs="宋体"/>
                <w:highlight w:val="none"/>
              </w:rPr>
            </w:pPr>
            <w:r>
              <w:rPr>
                <w:rFonts w:hint="eastAsia" w:ascii="宋体" w:hAnsi="宋体" w:cs="宋体"/>
                <w:highlight w:val="none"/>
                <w:lang w:val="en-US" w:eastAsia="zh-CN"/>
              </w:rPr>
              <w:t>（</w:t>
            </w:r>
            <w:r>
              <w:rPr>
                <w:rFonts w:hint="eastAsia" w:ascii="宋体" w:hAnsi="宋体" w:cs="宋体"/>
                <w:highlight w:val="none"/>
              </w:rPr>
              <w:t>满分</w:t>
            </w:r>
            <w:r>
              <w:rPr>
                <w:rFonts w:hint="eastAsia" w:ascii="宋体" w:hAnsi="宋体" w:cs="宋体"/>
                <w:highlight w:val="none"/>
                <w:lang w:val="en-US" w:eastAsia="zh-CN"/>
              </w:rPr>
              <w:t>50</w:t>
            </w:r>
            <w:r>
              <w:rPr>
                <w:rFonts w:hint="eastAsia" w:ascii="宋体" w:hAnsi="宋体" w:cs="宋体"/>
                <w:highlight w:val="none"/>
              </w:rPr>
              <w:t>分）</w:t>
            </w:r>
          </w:p>
        </w:tc>
        <w:tc>
          <w:tcPr>
            <w:tcW w:w="4016" w:type="dxa"/>
          </w:tcPr>
          <w:p w14:paraId="488FB792">
            <w:pPr>
              <w:rPr>
                <w:rFonts w:ascii="宋体" w:hAnsi="宋体" w:cs="宋体"/>
                <w:highlight w:val="none"/>
              </w:rPr>
            </w:pPr>
            <w:r>
              <w:rPr>
                <w:rFonts w:hint="eastAsia" w:ascii="宋体" w:hAnsi="宋体" w:cs="宋体"/>
                <w:highlight w:val="none"/>
              </w:rPr>
              <w:t>根据</w:t>
            </w:r>
            <w:r>
              <w:rPr>
                <w:rFonts w:hint="eastAsia" w:ascii="宋体" w:hAnsi="宋体" w:cs="宋体"/>
                <w:highlight w:val="none"/>
                <w:lang w:val="en-US" w:eastAsia="zh-CN"/>
              </w:rPr>
              <w:t>供应商</w:t>
            </w:r>
            <w:r>
              <w:rPr>
                <w:rFonts w:hint="eastAsia" w:ascii="宋体" w:hAnsi="宋体" w:cs="宋体"/>
                <w:highlight w:val="none"/>
              </w:rPr>
              <w:t>提供的</w:t>
            </w:r>
            <w:r>
              <w:rPr>
                <w:rFonts w:hint="eastAsia" w:ascii="宋体" w:hAnsi="宋体" w:cs="宋体"/>
                <w:bCs/>
                <w:color w:val="auto"/>
                <w:highlight w:val="none"/>
                <w:lang w:val="en-US" w:eastAsia="zh-CN"/>
              </w:rPr>
              <w:t>“学习强国”平台运维</w:t>
            </w:r>
            <w:r>
              <w:rPr>
                <w:rFonts w:hint="eastAsia" w:ascii="宋体" w:hAnsi="宋体" w:cs="宋体"/>
                <w:highlight w:val="none"/>
              </w:rPr>
              <w:t>初案，从主题贴合性、</w:t>
            </w:r>
            <w:r>
              <w:rPr>
                <w:rFonts w:hint="eastAsia" w:ascii="宋体" w:hAnsi="宋体" w:cs="宋体"/>
                <w:highlight w:val="none"/>
                <w:lang w:val="en-US" w:eastAsia="zh-CN"/>
              </w:rPr>
              <w:t>服务</w:t>
            </w:r>
            <w:r>
              <w:rPr>
                <w:rFonts w:hint="eastAsia" w:ascii="宋体" w:hAnsi="宋体" w:cs="宋体"/>
                <w:highlight w:val="none"/>
              </w:rPr>
              <w:t>效果等方面情况，由评选小组进行评分：贴合</w:t>
            </w:r>
            <w:r>
              <w:rPr>
                <w:rFonts w:hint="eastAsia" w:ascii="宋体" w:hAnsi="宋体" w:cs="宋体"/>
                <w:bCs/>
                <w:color w:val="auto"/>
                <w:highlight w:val="none"/>
                <w:lang w:val="en-US" w:eastAsia="zh-CN"/>
              </w:rPr>
              <w:t>平台</w:t>
            </w:r>
            <w:r>
              <w:rPr>
                <w:rFonts w:hint="eastAsia" w:ascii="宋体" w:hAnsi="宋体" w:cs="宋体"/>
                <w:highlight w:val="none"/>
              </w:rPr>
              <w:t>主题，</w:t>
            </w:r>
            <w:r>
              <w:rPr>
                <w:rFonts w:hint="eastAsia" w:ascii="宋体" w:hAnsi="宋体" w:cs="宋体"/>
                <w:highlight w:val="none"/>
                <w:lang w:val="en-US" w:eastAsia="zh-CN"/>
              </w:rPr>
              <w:t>分区合理，内容创新性佳</w:t>
            </w:r>
            <w:r>
              <w:rPr>
                <w:rFonts w:hint="eastAsia" w:ascii="宋体" w:hAnsi="宋体" w:cs="宋体"/>
                <w:highlight w:val="none"/>
              </w:rPr>
              <w:t>的得</w:t>
            </w:r>
            <w:r>
              <w:rPr>
                <w:rFonts w:hint="eastAsia" w:ascii="宋体" w:hAnsi="宋体" w:cs="宋体"/>
                <w:highlight w:val="none"/>
                <w:lang w:val="en-US" w:eastAsia="zh-CN"/>
              </w:rPr>
              <w:t>41～5</w:t>
            </w:r>
            <w:r>
              <w:rPr>
                <w:rFonts w:hint="eastAsia" w:ascii="宋体" w:hAnsi="宋体" w:cs="宋体"/>
                <w:highlight w:val="none"/>
              </w:rPr>
              <w:t>0分；较为贴合</w:t>
            </w:r>
            <w:r>
              <w:rPr>
                <w:rFonts w:hint="eastAsia" w:ascii="宋体" w:hAnsi="宋体" w:cs="宋体"/>
                <w:bCs/>
                <w:color w:val="auto"/>
                <w:highlight w:val="none"/>
                <w:lang w:val="en-US" w:eastAsia="zh-CN"/>
              </w:rPr>
              <w:t>平台</w:t>
            </w:r>
            <w:r>
              <w:rPr>
                <w:rFonts w:hint="eastAsia" w:ascii="宋体" w:hAnsi="宋体" w:cs="宋体"/>
                <w:highlight w:val="none"/>
                <w:lang w:val="en-US" w:eastAsia="zh-CN"/>
              </w:rPr>
              <w:t>服务</w:t>
            </w:r>
            <w:r>
              <w:rPr>
                <w:rFonts w:hint="eastAsia" w:ascii="宋体" w:hAnsi="宋体" w:cs="宋体"/>
                <w:highlight w:val="none"/>
              </w:rPr>
              <w:t>主题，</w:t>
            </w:r>
            <w:r>
              <w:rPr>
                <w:rFonts w:hint="eastAsia" w:ascii="宋体" w:hAnsi="宋体" w:cs="宋体"/>
                <w:highlight w:val="none"/>
                <w:lang w:val="en-US" w:eastAsia="zh-CN"/>
              </w:rPr>
              <w:t>分区较合理，内容创新性良好的</w:t>
            </w:r>
            <w:r>
              <w:rPr>
                <w:rFonts w:hint="eastAsia" w:ascii="宋体" w:hAnsi="宋体" w:cs="宋体"/>
                <w:highlight w:val="none"/>
              </w:rPr>
              <w:t>得</w:t>
            </w:r>
            <w:r>
              <w:rPr>
                <w:rFonts w:hint="eastAsia" w:ascii="宋体" w:hAnsi="宋体" w:cs="宋体"/>
                <w:highlight w:val="none"/>
                <w:lang w:val="en-US" w:eastAsia="zh-CN"/>
              </w:rPr>
              <w:t>31～40</w:t>
            </w:r>
            <w:r>
              <w:rPr>
                <w:rFonts w:hint="eastAsia" w:ascii="宋体" w:hAnsi="宋体" w:cs="宋体"/>
                <w:highlight w:val="none"/>
              </w:rPr>
              <w:t>分；主题贴合性、</w:t>
            </w:r>
            <w:r>
              <w:rPr>
                <w:rFonts w:hint="eastAsia" w:ascii="宋体" w:hAnsi="宋体" w:cs="宋体"/>
                <w:highlight w:val="none"/>
                <w:lang w:val="en-US" w:eastAsia="zh-CN"/>
              </w:rPr>
              <w:t>分区</w:t>
            </w:r>
            <w:r>
              <w:rPr>
                <w:rFonts w:hint="eastAsia" w:ascii="宋体" w:hAnsi="宋体" w:cs="宋体"/>
                <w:highlight w:val="none"/>
              </w:rPr>
              <w:t>一般</w:t>
            </w:r>
            <w:r>
              <w:rPr>
                <w:rFonts w:hint="eastAsia" w:ascii="宋体" w:hAnsi="宋体" w:cs="宋体"/>
                <w:highlight w:val="none"/>
                <w:lang w:eastAsia="zh-CN"/>
              </w:rPr>
              <w:t>，</w:t>
            </w:r>
            <w:r>
              <w:rPr>
                <w:rFonts w:hint="eastAsia" w:ascii="宋体" w:hAnsi="宋体" w:cs="宋体"/>
                <w:highlight w:val="none"/>
                <w:lang w:val="en-US" w:eastAsia="zh-CN"/>
              </w:rPr>
              <w:t>内容创新性合格</w:t>
            </w:r>
            <w:r>
              <w:rPr>
                <w:rFonts w:hint="eastAsia" w:ascii="宋体" w:hAnsi="宋体" w:cs="宋体"/>
                <w:highlight w:val="none"/>
              </w:rPr>
              <w:t>的得</w:t>
            </w:r>
            <w:r>
              <w:rPr>
                <w:rFonts w:hint="eastAsia" w:ascii="宋体" w:hAnsi="宋体" w:cs="宋体"/>
                <w:highlight w:val="none"/>
                <w:lang w:val="en-US" w:eastAsia="zh-CN"/>
              </w:rPr>
              <w:t>11～30</w:t>
            </w:r>
            <w:r>
              <w:rPr>
                <w:rFonts w:hint="eastAsia" w:ascii="宋体" w:hAnsi="宋体" w:cs="宋体"/>
                <w:highlight w:val="none"/>
              </w:rPr>
              <w:t>分。</w:t>
            </w:r>
          </w:p>
        </w:tc>
        <w:tc>
          <w:tcPr>
            <w:tcW w:w="1664" w:type="dxa"/>
          </w:tcPr>
          <w:p w14:paraId="07E128E2">
            <w:pPr>
              <w:rPr>
                <w:rFonts w:ascii="宋体" w:hAnsi="宋体" w:cs="宋体"/>
                <w:highlight w:val="none"/>
              </w:rPr>
            </w:pPr>
            <w:r>
              <w:rPr>
                <w:rFonts w:hint="eastAsia" w:ascii="宋体" w:hAnsi="宋体" w:cs="宋体"/>
                <w:highlight w:val="none"/>
                <w:lang w:val="en-US" w:eastAsia="zh-CN"/>
              </w:rPr>
              <w:t>50</w:t>
            </w:r>
            <w:r>
              <w:rPr>
                <w:rFonts w:hint="eastAsia" w:ascii="宋体" w:hAnsi="宋体" w:cs="宋体"/>
                <w:highlight w:val="none"/>
              </w:rPr>
              <w:t>分</w:t>
            </w:r>
          </w:p>
        </w:tc>
      </w:tr>
    </w:tbl>
    <w:p w14:paraId="27311255">
      <w:pPr>
        <w:spacing w:line="500" w:lineRule="exact"/>
        <w:rPr>
          <w:sz w:val="28"/>
          <w:szCs w:val="28"/>
          <w:highlight w:val="none"/>
        </w:rPr>
      </w:pPr>
    </w:p>
    <w:p w14:paraId="676F0B95"/>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05F389A"/>
    <w:multiLevelType w:val="multilevel"/>
    <w:tmpl w:val="B05F389A"/>
    <w:lvl w:ilvl="0" w:tentative="0">
      <w:start w:val="1"/>
      <w:numFmt w:val="chineseCounting"/>
      <w:pStyle w:val="2"/>
      <w:lvlText w:val="%1."/>
      <w:lvlJc w:val="left"/>
      <w:pPr>
        <w:ind w:left="425" w:hanging="425"/>
      </w:pPr>
      <w:rPr>
        <w:rFonts w:hint="eastAsia" w:ascii="宋体" w:hAnsi="宋体" w:eastAsia="宋体" w:cs="宋体"/>
      </w:rPr>
    </w:lvl>
    <w:lvl w:ilvl="1" w:tentative="0">
      <w:start w:val="1"/>
      <w:numFmt w:val="decimal"/>
      <w:lvlText w:val="%2."/>
      <w:lvlJc w:val="left"/>
      <w:pPr>
        <w:ind w:left="567" w:hanging="567"/>
      </w:pPr>
      <w:rPr>
        <w:rFonts w:hint="eastAsia" w:ascii="宋体" w:hAnsi="宋体" w:eastAsia="宋体" w:cs="宋体"/>
      </w:rPr>
    </w:lvl>
    <w:lvl w:ilvl="2" w:tentative="0">
      <w:start w:val="1"/>
      <w:numFmt w:val="decimal"/>
      <w:lvlText w:val="%2.%3."/>
      <w:lvlJc w:val="left"/>
      <w:pPr>
        <w:ind w:left="709" w:hanging="709"/>
      </w:pPr>
      <w:rPr>
        <w:rFonts w:hint="eastAsia" w:ascii="宋体" w:hAnsi="宋体" w:eastAsia="宋体" w:cs="宋体"/>
      </w:rPr>
    </w:lvl>
    <w:lvl w:ilvl="3" w:tentative="0">
      <w:start w:val="1"/>
      <w:numFmt w:val="decimal"/>
      <w:lvlText w:val="%2.%3.%4."/>
      <w:lvlJc w:val="left"/>
      <w:pPr>
        <w:ind w:left="851" w:hanging="851"/>
      </w:pPr>
      <w:rPr>
        <w:rFonts w:hint="eastAsia" w:ascii="宋体" w:hAnsi="宋体" w:eastAsia="宋体" w:cs="宋体"/>
      </w:rPr>
    </w:lvl>
    <w:lvl w:ilvl="4" w:tentative="0">
      <w:start w:val="1"/>
      <w:numFmt w:val="decimal"/>
      <w:lvlText w:val="%2.%3.%4.%5."/>
      <w:lvlJc w:val="left"/>
      <w:pPr>
        <w:ind w:left="992" w:hanging="992"/>
      </w:pPr>
      <w:rPr>
        <w:rFonts w:hint="eastAsia" w:ascii="宋体" w:hAnsi="宋体" w:eastAsia="宋体" w:cs="宋体"/>
      </w:rPr>
    </w:lvl>
    <w:lvl w:ilvl="5" w:tentative="0">
      <w:start w:val="1"/>
      <w:numFmt w:val="decimal"/>
      <w:lvlText w:val="%2.%3.%4.%5.%6."/>
      <w:lvlJc w:val="left"/>
      <w:pPr>
        <w:ind w:left="1134" w:hanging="1134"/>
      </w:pPr>
      <w:rPr>
        <w:rFonts w:hint="eastAsia" w:ascii="宋体" w:hAnsi="宋体" w:eastAsia="宋体" w:cs="宋体"/>
      </w:rPr>
    </w:lvl>
    <w:lvl w:ilvl="6" w:tentative="0">
      <w:start w:val="1"/>
      <w:numFmt w:val="decimal"/>
      <w:lvlText w:val="%1.%2.%3.%4.%5.%6.%7."/>
      <w:lvlJc w:val="left"/>
      <w:pPr>
        <w:ind w:left="1276" w:hanging="1276"/>
      </w:pPr>
      <w:rPr>
        <w:rFonts w:hint="eastAsia"/>
      </w:rPr>
    </w:lvl>
    <w:lvl w:ilvl="7" w:tentative="0">
      <w:start w:val="1"/>
      <w:numFmt w:val="decimal"/>
      <w:lvlText w:val="%1.%2.%3.%4.%5.%6.%7.%8."/>
      <w:lvlJc w:val="left"/>
      <w:pPr>
        <w:ind w:left="1418" w:hanging="1418"/>
      </w:pPr>
      <w:rPr>
        <w:rFonts w:hint="eastAsia"/>
      </w:rPr>
    </w:lvl>
    <w:lvl w:ilvl="8" w:tentative="0">
      <w:start w:val="1"/>
      <w:numFmt w:val="decimal"/>
      <w:lvlText w:val="%1.%2.%3.%4.%5.%6.%7.%8.%9."/>
      <w:lvlJc w:val="left"/>
      <w:pPr>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80C78A5"/>
    <w:rsid w:val="1E20004E"/>
    <w:rsid w:val="280C78A5"/>
    <w:rsid w:val="415843CC"/>
    <w:rsid w:val="62CC68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39"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eastAsia="宋体" w:asciiTheme="minorHAnsi" w:hAnsiTheme="minorHAnsi" w:cstheme="minorBidi"/>
      <w:kern w:val="2"/>
      <w:sz w:val="24"/>
      <w:szCs w:val="24"/>
      <w:lang w:val="en-US" w:eastAsia="zh-CN" w:bidi="ar-SA"/>
    </w:rPr>
  </w:style>
  <w:style w:type="paragraph" w:styleId="2">
    <w:name w:val="heading 1"/>
    <w:basedOn w:val="1"/>
    <w:next w:val="1"/>
    <w:qFormat/>
    <w:uiPriority w:val="0"/>
    <w:pPr>
      <w:keepNext/>
      <w:keepLines/>
      <w:numPr>
        <w:ilvl w:val="0"/>
        <w:numId w:val="1"/>
      </w:numPr>
      <w:outlineLvl w:val="0"/>
    </w:pPr>
    <w:rPr>
      <w:rFonts w:ascii="宋体" w:hAnsi="宋体" w:cs="宋体"/>
      <w:b/>
      <w:kern w:val="44"/>
      <w:sz w:val="28"/>
    </w:rPr>
  </w:style>
  <w:style w:type="paragraph" w:styleId="3">
    <w:name w:val="heading 4"/>
    <w:basedOn w:val="1"/>
    <w:next w:val="1"/>
    <w:qFormat/>
    <w:uiPriority w:val="0"/>
    <w:pPr>
      <w:keepNext/>
      <w:keepLines/>
      <w:spacing w:before="120" w:after="120"/>
      <w:outlineLvl w:val="3"/>
    </w:pPr>
    <w:rPr>
      <w:rFonts w:ascii="Arial" w:hAnsi="Arial" w:eastAsia="黑体"/>
      <w:b/>
      <w:sz w:val="28"/>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table" w:styleId="5">
    <w:name w:val="Table Grid"/>
    <w:basedOn w:val="4"/>
    <w:semiHidden/>
    <w:unhideWhenUsed/>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7">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1197</Words>
  <Characters>1218</Characters>
  <Lines>0</Lines>
  <Paragraphs>0</Paragraphs>
  <TotalTime>37</TotalTime>
  <ScaleCrop>false</ScaleCrop>
  <LinksUpToDate>false</LinksUpToDate>
  <CharactersWithSpaces>1218</CharactersWithSpaces>
  <Application>WPS Office_12.1.0.23539_F1E327BC-269C-435d-A152-05C5408002CA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2025-12-08T03:27:00Z</dcterms:created>
  <dc:creator>瓜发财</dc:creator>
  <cp:lastModifiedBy>瓜发财</cp:lastModifiedBy>
  <dcterms:modified xsi:type="dcterms:W3CDTF">2025-12-09T03:55:38Z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2052-12.1.0.23539</vt:lpwstr>
  </property>
  <property fmtid="{D5CDD505-2E9C-101B-9397-08002B2CF9AE}" pid="3" name="ICV">
    <vt:lpwstr>17BB6119FFB8488E8ECB832B907DD600_13</vt:lpwstr>
  </property>
  <property fmtid="{D5CDD505-2E9C-101B-9397-08002B2CF9AE}" pid="4" name="KSOTemplateDocerSaveRecord">
    <vt:lpwstr>eyJoZGlkIjoiOGU1YTBlYjdlMDQ2ZGM2NDNlODJjZTFjNmFhZmRmNzYiLCJ1c2VySWQiOiIxMDM3OTQxMzAyIn0=</vt:lpwstr>
  </property>
</Properties>
</file>